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007DD7">
                              <w:rPr>
                                <w:rFonts w:ascii="Arial" w:hAnsi="Arial" w:cs="Arial"/>
                                <w:b/>
                                <w:bCs/>
                                <w:lang w:val="en-GB"/>
                              </w:rPr>
                              <w:t>9</w:t>
                            </w:r>
                            <w:r w:rsidR="002D7DF5">
                              <w:rPr>
                                <w:rFonts w:ascii="Arial" w:hAnsi="Arial" w:cs="Arial"/>
                                <w:b/>
                                <w:bCs/>
                                <w:lang w:val="en-GB"/>
                              </w:rPr>
                              <w:t xml:space="preserve"> </w:t>
                            </w:r>
                          </w:p>
                          <w:p w:rsidR="00FA36AB" w:rsidRDefault="00007DD7" w:rsidP="00754D75">
                            <w:pPr>
                              <w:jc w:val="center"/>
                              <w:rPr>
                                <w:rFonts w:ascii="Arial" w:hAnsi="Arial" w:cs="Arial"/>
                                <w:b/>
                                <w:bCs/>
                                <w:lang w:val="en-GB"/>
                              </w:rPr>
                            </w:pPr>
                            <w:r>
                              <w:rPr>
                                <w:rFonts w:ascii="Arial" w:hAnsi="Arial" w:cs="Arial"/>
                                <w:b/>
                                <w:bCs/>
                                <w:lang w:val="en-GB"/>
                              </w:rPr>
                              <w:t>24 March</w:t>
                            </w:r>
                            <w:r w:rsidR="003951D7">
                              <w:rPr>
                                <w:rFonts w:ascii="Arial" w:hAnsi="Arial" w:cs="Arial"/>
                                <w:b/>
                                <w:bCs/>
                                <w:lang w:val="en-GB"/>
                              </w:rPr>
                              <w:t xml:space="preserve"> </w:t>
                            </w:r>
                            <w:r>
                              <w:rPr>
                                <w:rFonts w:ascii="Arial" w:hAnsi="Arial" w:cs="Arial"/>
                                <w:b/>
                                <w:bCs/>
                                <w:lang w:val="en-GB"/>
                              </w:rPr>
                              <w:t>2017</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007DD7">
                        <w:rPr>
                          <w:rFonts w:ascii="Arial" w:hAnsi="Arial" w:cs="Arial"/>
                          <w:b/>
                          <w:bCs/>
                          <w:lang w:val="en-GB"/>
                        </w:rPr>
                        <w:t>9</w:t>
                      </w:r>
                      <w:r w:rsidR="002D7DF5">
                        <w:rPr>
                          <w:rFonts w:ascii="Arial" w:hAnsi="Arial" w:cs="Arial"/>
                          <w:b/>
                          <w:bCs/>
                          <w:lang w:val="en-GB"/>
                        </w:rPr>
                        <w:t xml:space="preserve"> </w:t>
                      </w:r>
                    </w:p>
                    <w:p w:rsidR="00FA36AB" w:rsidRDefault="00007DD7" w:rsidP="00754D75">
                      <w:pPr>
                        <w:jc w:val="center"/>
                        <w:rPr>
                          <w:rFonts w:ascii="Arial" w:hAnsi="Arial" w:cs="Arial"/>
                          <w:b/>
                          <w:bCs/>
                          <w:lang w:val="en-GB"/>
                        </w:rPr>
                      </w:pPr>
                      <w:r>
                        <w:rPr>
                          <w:rFonts w:ascii="Arial" w:hAnsi="Arial" w:cs="Arial"/>
                          <w:b/>
                          <w:bCs/>
                          <w:lang w:val="en-GB"/>
                        </w:rPr>
                        <w:t>24 March</w:t>
                      </w:r>
                      <w:r w:rsidR="003951D7">
                        <w:rPr>
                          <w:rFonts w:ascii="Arial" w:hAnsi="Arial" w:cs="Arial"/>
                          <w:b/>
                          <w:bCs/>
                          <w:lang w:val="en-GB"/>
                        </w:rPr>
                        <w:t xml:space="preserve"> </w:t>
                      </w:r>
                      <w:r>
                        <w:rPr>
                          <w:rFonts w:ascii="Arial" w:hAnsi="Arial" w:cs="Arial"/>
                          <w:b/>
                          <w:bCs/>
                          <w:lang w:val="en-GB"/>
                        </w:rPr>
                        <w:t>2017</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464803"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E43EBC">
        <w:rPr>
          <w:rFonts w:ascii="Arial" w:hAnsi="Arial" w:cs="Arial"/>
          <w:b/>
          <w:sz w:val="20"/>
          <w:szCs w:val="20"/>
          <w:lang w:val="en-GB"/>
        </w:rPr>
        <w:t>5.10</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E43EBC">
        <w:rPr>
          <w:rFonts w:ascii="Arial" w:hAnsi="Arial" w:cs="Arial"/>
          <w:b/>
          <w:sz w:val="20"/>
          <w:szCs w:val="20"/>
          <w:lang w:val="en-GB"/>
        </w:rPr>
        <w:t>IWSS Proposed Structure and Finances</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E43EBC" w:rsidRDefault="003D6D11" w:rsidP="003D6D11">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sidRPr="00E43EBC">
        <w:rPr>
          <w:rFonts w:ascii="Arial" w:hAnsi="Arial" w:cs="Arial"/>
          <w:b/>
          <w:sz w:val="20"/>
          <w:szCs w:val="20"/>
          <w:lang w:val="en-GB"/>
        </w:rPr>
        <w:t>WSB 1</w:t>
      </w:r>
      <w:r w:rsidR="00007DD7" w:rsidRPr="00E43EBC">
        <w:rPr>
          <w:rFonts w:ascii="Arial" w:hAnsi="Arial" w:cs="Arial"/>
          <w:b/>
          <w:sz w:val="20"/>
          <w:szCs w:val="20"/>
          <w:lang w:val="en-GB"/>
        </w:rPr>
        <w:t>9</w:t>
      </w:r>
      <w:r w:rsidRPr="00E43EBC">
        <w:rPr>
          <w:rFonts w:ascii="Arial" w:hAnsi="Arial" w:cs="Arial"/>
          <w:b/>
          <w:sz w:val="20"/>
          <w:szCs w:val="20"/>
          <w:lang w:val="en-GB"/>
        </w:rPr>
        <w:t>/</w:t>
      </w:r>
      <w:r w:rsidR="00E43EBC" w:rsidRPr="00E43EBC">
        <w:rPr>
          <w:rFonts w:ascii="Arial" w:hAnsi="Arial" w:cs="Arial"/>
          <w:b/>
          <w:sz w:val="20"/>
          <w:szCs w:val="20"/>
          <w:lang w:val="en-GB"/>
        </w:rPr>
        <w:t>5.10</w:t>
      </w:r>
      <w:r w:rsidRPr="00E43EBC">
        <w:rPr>
          <w:rFonts w:ascii="Arial" w:hAnsi="Arial" w:cs="Arial"/>
          <w:b/>
          <w:sz w:val="20"/>
          <w:szCs w:val="20"/>
          <w:lang w:val="en-GB"/>
        </w:rPr>
        <w:t>/</w:t>
      </w:r>
      <w:r w:rsidR="00E43EBC" w:rsidRPr="00E43EBC">
        <w:rPr>
          <w:rFonts w:ascii="Arial" w:hAnsi="Arial" w:cs="Arial"/>
          <w:b/>
          <w:sz w:val="20"/>
          <w:szCs w:val="20"/>
          <w:lang w:val="en-GB"/>
        </w:rPr>
        <w:t>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E43EBC">
        <w:rPr>
          <w:rFonts w:ascii="Arial" w:hAnsi="Arial" w:cs="Arial"/>
          <w:b/>
          <w:sz w:val="20"/>
          <w:szCs w:val="20"/>
          <w:lang w:val="en-GB"/>
        </w:rPr>
        <w:t>2 March</w:t>
      </w:r>
      <w:r w:rsidR="00E904DF">
        <w:rPr>
          <w:rFonts w:ascii="Arial" w:hAnsi="Arial" w:cs="Arial"/>
          <w:sz w:val="20"/>
          <w:szCs w:val="20"/>
          <w:lang w:val="en-GB"/>
        </w:rPr>
        <w:t xml:space="preserve"> </w:t>
      </w:r>
      <w:r w:rsidR="00B07A4C" w:rsidRPr="00E43EBC">
        <w:rPr>
          <w:rFonts w:ascii="Arial" w:hAnsi="Arial" w:cs="Arial"/>
          <w:b/>
          <w:sz w:val="20"/>
          <w:szCs w:val="20"/>
          <w:lang w:val="en-GB"/>
        </w:rPr>
        <w:t>201</w:t>
      </w:r>
      <w:r w:rsidR="00007DD7" w:rsidRPr="00E43EBC">
        <w:rPr>
          <w:rFonts w:ascii="Arial" w:hAnsi="Arial" w:cs="Arial"/>
          <w:b/>
          <w:sz w:val="20"/>
          <w:szCs w:val="20"/>
          <w:lang w:val="en-GB"/>
        </w:rPr>
        <w:t>7</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E43EBC">
        <w:rPr>
          <w:rFonts w:ascii="Arial" w:hAnsi="Arial" w:cs="Arial"/>
          <w:b/>
          <w:sz w:val="20"/>
          <w:szCs w:val="20"/>
          <w:lang w:val="en-GB"/>
        </w:rPr>
        <w:t>WWF Germany</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E43EBC" w:rsidRDefault="00E43EBC" w:rsidP="003D6D11">
      <w:pPr>
        <w:pStyle w:val="Kopfzeile"/>
        <w:tabs>
          <w:tab w:val="clear" w:pos="4703"/>
          <w:tab w:val="clear" w:pos="9406"/>
        </w:tabs>
        <w:rPr>
          <w:rFonts w:ascii="Arial" w:hAnsi="Arial" w:cs="Arial"/>
          <w:sz w:val="20"/>
          <w:lang w:val="en-GB" w:eastAsia="de-DE"/>
        </w:rPr>
      </w:pPr>
    </w:p>
    <w:p w:rsidR="00075502" w:rsidRDefault="00E43EBC" w:rsidP="003D6D11">
      <w:pPr>
        <w:pStyle w:val="Kopfzeile"/>
        <w:tabs>
          <w:tab w:val="clear" w:pos="4703"/>
          <w:tab w:val="clear" w:pos="9406"/>
        </w:tabs>
        <w:rPr>
          <w:rFonts w:ascii="Arial" w:hAnsi="Arial" w:cs="Arial"/>
          <w:sz w:val="20"/>
          <w:lang w:val="en-GB" w:eastAsia="de-DE"/>
        </w:rPr>
      </w:pPr>
      <w:r>
        <w:rPr>
          <w:rFonts w:ascii="Arial" w:hAnsi="Arial" w:cs="Arial"/>
          <w:sz w:val="20"/>
          <w:lang w:val="en-GB" w:eastAsia="de-DE"/>
        </w:rPr>
        <w:t xml:space="preserve">Attached is a proposal for structure and finances of the International Wadden Sea School (IWSS) for the period 2017 -2017 as requested by WSB </w:t>
      </w:r>
      <w:proofErr w:type="gramStart"/>
      <w:r>
        <w:rPr>
          <w:rFonts w:ascii="Arial" w:hAnsi="Arial" w:cs="Arial"/>
          <w:sz w:val="20"/>
          <w:lang w:val="en-GB" w:eastAsia="de-DE"/>
        </w:rPr>
        <w:t>18.</w:t>
      </w:r>
      <w:proofErr w:type="gramEnd"/>
      <w:r>
        <w:rPr>
          <w:rFonts w:ascii="Arial" w:hAnsi="Arial" w:cs="Arial"/>
          <w:sz w:val="20"/>
          <w:lang w:val="en-GB" w:eastAsia="de-DE"/>
        </w:rPr>
        <w:t xml:space="preserve"> </w:t>
      </w:r>
    </w:p>
    <w:p w:rsidR="00593F97" w:rsidRDefault="00593F97" w:rsidP="003D6D11">
      <w:pPr>
        <w:pStyle w:val="Kopfzeile"/>
        <w:tabs>
          <w:tab w:val="clear" w:pos="4703"/>
          <w:tab w:val="clear" w:pos="9406"/>
        </w:tabs>
        <w:rPr>
          <w:rFonts w:ascii="Arial" w:hAnsi="Arial" w:cs="Arial"/>
          <w:sz w:val="20"/>
          <w:lang w:val="en-GB" w:eastAsia="de-DE"/>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3D6D11">
      <w:pPr>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E43EBC">
        <w:rPr>
          <w:rFonts w:ascii="Arial" w:hAnsi="Arial"/>
          <w:b/>
          <w:sz w:val="20"/>
          <w:szCs w:val="20"/>
          <w:lang w:val="en-GB"/>
        </w:rPr>
        <w:t>discuss respectively endorse the proposal</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127D9A" w:rsidRDefault="00127D9A">
      <w:pPr>
        <w:rPr>
          <w:rFonts w:ascii="Arial" w:hAnsi="Arial" w:cs="Arial"/>
          <w:lang w:val="en-GB"/>
        </w:rPr>
      </w:pPr>
    </w:p>
    <w:p w:rsidR="001C042F" w:rsidRDefault="003222A3" w:rsidP="001C042F">
      <w:pPr>
        <w:rPr>
          <w:rFonts w:ascii="Arial" w:hAnsi="Arial" w:cs="Arial"/>
          <w:lang w:val="en-GB"/>
        </w:rPr>
      </w:pPr>
      <w:r w:rsidRPr="00CD2342">
        <w:rPr>
          <w:noProof/>
          <w:color w:val="FF0000"/>
          <w:lang w:val="de-DE" w:eastAsia="de-DE"/>
        </w:rPr>
        <w:lastRenderedPageBreak/>
        <w:drawing>
          <wp:anchor distT="0" distB="0" distL="114300" distR="114300" simplePos="0" relativeHeight="251662336" behindDoc="1" locked="0" layoutInCell="1" allowOverlap="1" wp14:anchorId="155C360B" wp14:editId="0D91F7A0">
            <wp:simplePos x="0" y="0"/>
            <wp:positionH relativeFrom="column">
              <wp:posOffset>-194797</wp:posOffset>
            </wp:positionH>
            <wp:positionV relativeFrom="paragraph">
              <wp:posOffset>-170121</wp:posOffset>
            </wp:positionV>
            <wp:extent cx="946800" cy="2764800"/>
            <wp:effectExtent l="0" t="0" r="5715" b="0"/>
            <wp:wrapSquare wrapText="bothSides"/>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lueTab_Stellungnahme_k.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46800" cy="2764800"/>
                    </a:xfrm>
                    <a:prstGeom prst="rect">
                      <a:avLst/>
                    </a:prstGeom>
                  </pic:spPr>
                </pic:pic>
              </a:graphicData>
            </a:graphic>
            <wp14:sizeRelH relativeFrom="margin">
              <wp14:pctWidth>0</wp14:pctWidth>
            </wp14:sizeRelH>
            <wp14:sizeRelV relativeFrom="margin">
              <wp14:pctHeight>0</wp14:pctHeight>
            </wp14:sizeRelV>
          </wp:anchor>
        </w:drawing>
      </w:r>
    </w:p>
    <w:p w:rsidR="003222A3" w:rsidRDefault="003222A3" w:rsidP="001C042F">
      <w:pPr>
        <w:rPr>
          <w:rFonts w:ascii="Arial" w:hAnsi="Arial" w:cs="Arial"/>
          <w:lang w:val="en-GB"/>
        </w:rPr>
      </w:pPr>
    </w:p>
    <w:p w:rsidR="003222A3" w:rsidRDefault="003222A3" w:rsidP="001C042F">
      <w:pPr>
        <w:rPr>
          <w:rFonts w:ascii="Arial" w:hAnsi="Arial" w:cs="Arial"/>
          <w:lang w:val="en-GB"/>
        </w:rPr>
      </w:pPr>
    </w:p>
    <w:p w:rsidR="003222A3" w:rsidRDefault="003222A3" w:rsidP="001C042F">
      <w:pPr>
        <w:rPr>
          <w:rFonts w:ascii="Arial" w:hAnsi="Arial" w:cs="Arial"/>
          <w:lang w:val="en-GB"/>
        </w:rPr>
      </w:pPr>
    </w:p>
    <w:p w:rsidR="003222A3" w:rsidRDefault="003222A3" w:rsidP="001C042F">
      <w:pPr>
        <w:rPr>
          <w:rFonts w:ascii="Arial" w:hAnsi="Arial" w:cs="Arial"/>
          <w:lang w:val="en-GB"/>
        </w:rPr>
      </w:pPr>
    </w:p>
    <w:p w:rsidR="003222A3" w:rsidRPr="003222A3" w:rsidRDefault="003222A3" w:rsidP="003222A3">
      <w:pPr>
        <w:pStyle w:val="Titelberschrift2"/>
        <w:rPr>
          <w:rFonts w:ascii="Georgia" w:hAnsi="Georgia"/>
          <w:lang w:val="en-GB"/>
        </w:rPr>
      </w:pPr>
      <w:r w:rsidRPr="003222A3">
        <w:rPr>
          <w:rFonts w:ascii="Georgia" w:hAnsi="Georgia"/>
          <w:lang w:val="en-GB"/>
        </w:rPr>
        <w:t>IWSS 2017-2019</w:t>
      </w:r>
    </w:p>
    <w:p w:rsidR="003222A3" w:rsidRPr="003222A3" w:rsidRDefault="003222A3" w:rsidP="003222A3">
      <w:pPr>
        <w:pStyle w:val="Titelberschrift1"/>
        <w:rPr>
          <w:rFonts w:ascii="Georgia" w:hAnsi="Georgia"/>
          <w:lang w:val="en-GB"/>
        </w:rPr>
      </w:pPr>
      <w:r w:rsidRPr="003222A3">
        <w:rPr>
          <w:rFonts w:ascii="Georgia" w:hAnsi="Georgia"/>
          <w:lang w:val="en-GB"/>
        </w:rPr>
        <w:t xml:space="preserve">Proposed Structure &amp; Finances </w:t>
      </w:r>
    </w:p>
    <w:p w:rsidR="003222A3" w:rsidRPr="003222A3" w:rsidRDefault="003222A3" w:rsidP="003222A3">
      <w:pPr>
        <w:pStyle w:val="berschrift1"/>
        <w:numPr>
          <w:ilvl w:val="0"/>
          <w:numId w:val="0"/>
        </w:numPr>
        <w:spacing w:after="120" w:line="300" w:lineRule="exact"/>
        <w:ind w:left="432" w:hanging="432"/>
        <w:rPr>
          <w:rFonts w:ascii="Georgia" w:hAnsi="Georgia"/>
          <w:lang w:val="en-GB"/>
        </w:rPr>
      </w:pPr>
      <w:r w:rsidRPr="003222A3">
        <w:rPr>
          <w:rFonts w:ascii="Georgia" w:hAnsi="Georgia"/>
          <w:lang w:val="en-GB"/>
        </w:rPr>
        <w:t>WSB 24.3.2017</w:t>
      </w:r>
    </w:p>
    <w:p w:rsidR="003222A3" w:rsidRPr="003222A3" w:rsidRDefault="003222A3" w:rsidP="003222A3">
      <w:pPr>
        <w:spacing w:after="120" w:line="300" w:lineRule="exact"/>
        <w:rPr>
          <w:rFonts w:ascii="Georgia" w:hAnsi="Georgia"/>
          <w:lang w:val="en-GB"/>
        </w:rPr>
      </w:pPr>
      <w:r w:rsidRPr="003222A3">
        <w:rPr>
          <w:rFonts w:ascii="Georgia" w:hAnsi="Georgia"/>
          <w:lang w:val="en-GB"/>
        </w:rPr>
        <w:t>Following the IWSS evaluation carried out in late summer 2016 upon request by WSB 17 and the discussion of the results and consequences by WSB 18, a restructuring of the trilateral Word Heritage (WH) interpretation activities is proposed. The aim of the adapted IWSS organisation – presented as organisational chart on the following pages – is to continue and further develop the most successful services. The proposed</w:t>
      </w:r>
      <w:bookmarkStart w:id="0" w:name="_GoBack"/>
      <w:bookmarkEnd w:id="0"/>
      <w:r w:rsidRPr="003222A3">
        <w:rPr>
          <w:rFonts w:ascii="Georgia" w:hAnsi="Georgia"/>
          <w:lang w:val="en-GB"/>
        </w:rPr>
        <w:t xml:space="preserve"> organisational structure has been discussed and further elaborated by the participants of the IWSS Workshop held in </w:t>
      </w:r>
      <w:proofErr w:type="spellStart"/>
      <w:r w:rsidRPr="003222A3">
        <w:rPr>
          <w:rFonts w:ascii="Georgia" w:hAnsi="Georgia"/>
          <w:lang w:val="en-GB"/>
        </w:rPr>
        <w:t>Vester</w:t>
      </w:r>
      <w:proofErr w:type="spellEnd"/>
      <w:r w:rsidRPr="003222A3">
        <w:rPr>
          <w:rFonts w:ascii="Georgia" w:hAnsi="Georgia"/>
          <w:lang w:val="en-GB"/>
        </w:rPr>
        <w:t xml:space="preserve"> </w:t>
      </w:r>
      <w:proofErr w:type="spellStart"/>
      <w:r w:rsidRPr="003222A3">
        <w:rPr>
          <w:rFonts w:ascii="Georgia" w:hAnsi="Georgia"/>
          <w:lang w:val="en-GB"/>
        </w:rPr>
        <w:t>Vedsted</w:t>
      </w:r>
      <w:proofErr w:type="spellEnd"/>
      <w:r w:rsidRPr="003222A3">
        <w:rPr>
          <w:rFonts w:ascii="Georgia" w:hAnsi="Georgia"/>
          <w:lang w:val="en-GB"/>
        </w:rPr>
        <w:t xml:space="preserve"> in November 2016 and is supported by the represented Danish, Dutch and German Wadden Sea visitor centres. </w:t>
      </w:r>
    </w:p>
    <w:p w:rsidR="003222A3" w:rsidRPr="003222A3" w:rsidRDefault="003222A3" w:rsidP="003222A3">
      <w:pPr>
        <w:spacing w:after="120" w:line="300" w:lineRule="exact"/>
        <w:rPr>
          <w:rFonts w:ascii="Georgia" w:hAnsi="Georgia"/>
          <w:lang w:val="en-GB"/>
        </w:rPr>
      </w:pPr>
      <w:r w:rsidRPr="003222A3">
        <w:rPr>
          <w:rFonts w:ascii="Georgia" w:hAnsi="Georgia"/>
          <w:lang w:val="en-GB"/>
        </w:rPr>
        <w:t xml:space="preserve">The core of this revised structure is the concentration of IWSS activities on a trilateral work program consisting of 2 main components: </w:t>
      </w:r>
    </w:p>
    <w:p w:rsidR="003222A3" w:rsidRPr="003222A3" w:rsidRDefault="003222A3" w:rsidP="003222A3">
      <w:pPr>
        <w:pStyle w:val="Listenabsatz"/>
        <w:numPr>
          <w:ilvl w:val="0"/>
          <w:numId w:val="22"/>
        </w:numPr>
        <w:spacing w:after="120" w:line="300" w:lineRule="exact"/>
        <w:rPr>
          <w:rFonts w:ascii="Georgia" w:hAnsi="Georgia"/>
          <w:lang w:val="en-GB"/>
        </w:rPr>
      </w:pPr>
      <w:r w:rsidRPr="003222A3">
        <w:rPr>
          <w:rFonts w:ascii="Georgia" w:hAnsi="Georgia"/>
          <w:lang w:val="en-GB"/>
        </w:rPr>
        <w:t xml:space="preserve">the facilitation of partner workshops and network services such as transnational newsletters on Wadden Sea education, and </w:t>
      </w:r>
    </w:p>
    <w:p w:rsidR="003222A3" w:rsidRPr="003222A3" w:rsidRDefault="003222A3" w:rsidP="003222A3">
      <w:pPr>
        <w:pStyle w:val="Listenabsatz"/>
        <w:numPr>
          <w:ilvl w:val="0"/>
          <w:numId w:val="22"/>
        </w:numPr>
        <w:spacing w:after="120" w:line="300" w:lineRule="exact"/>
        <w:rPr>
          <w:rFonts w:ascii="Georgia" w:hAnsi="Georgia"/>
          <w:lang w:val="en-GB"/>
        </w:rPr>
      </w:pPr>
      <w:r w:rsidRPr="003222A3">
        <w:rPr>
          <w:rFonts w:ascii="Georgia" w:hAnsi="Georgia"/>
          <w:lang w:val="en-GB"/>
        </w:rPr>
        <w:t>the continued production and distribution, but also further development of trilateral WH core interpretation products.</w:t>
      </w:r>
    </w:p>
    <w:p w:rsidR="003222A3" w:rsidRPr="003222A3" w:rsidRDefault="003222A3" w:rsidP="003222A3">
      <w:pPr>
        <w:spacing w:after="120" w:line="300" w:lineRule="exact"/>
        <w:rPr>
          <w:rFonts w:ascii="Georgia" w:hAnsi="Georgia"/>
          <w:lang w:val="en-GB"/>
        </w:rPr>
      </w:pPr>
      <w:r w:rsidRPr="003222A3">
        <w:rPr>
          <w:rFonts w:ascii="Georgia" w:hAnsi="Georgia"/>
          <w:lang w:val="en-GB"/>
        </w:rPr>
        <w:t xml:space="preserve">These products in principle shall focus on and be suitable for the entire WH and are to be designed in WH layout. They have to be provided in Danish, German and Dutch, which in most cases mean in three languages within the same print, which in itself also fulfils educational purposes. Already existing examples for such “WH core products” are the multilingual Wadden Sea poster, the animated video and the new sticker book. </w:t>
      </w:r>
    </w:p>
    <w:p w:rsidR="003222A3" w:rsidRPr="003222A3" w:rsidRDefault="003222A3" w:rsidP="003222A3">
      <w:pPr>
        <w:spacing w:after="120" w:line="300" w:lineRule="exact"/>
        <w:rPr>
          <w:rFonts w:ascii="Georgia" w:hAnsi="Georgia"/>
          <w:lang w:val="en-GB"/>
        </w:rPr>
      </w:pPr>
      <w:r w:rsidRPr="003222A3">
        <w:rPr>
          <w:rFonts w:ascii="Georgia" w:hAnsi="Georgia"/>
          <w:lang w:val="en-GB"/>
        </w:rPr>
        <w:t>The trilateral work program shall be financed by the trilateral Wadden Sea cooperation, providing multipliers of WH education with free network services and basic WH resources. Additional resources, especially those that multipliers sell to their customers or that generate income for the visitor centres, can be offered for (at least parts of the) cost price for an economically sustainable IWSS budget. To a certain extent additional project funding can be acquired for the development of new products.</w:t>
      </w:r>
    </w:p>
    <w:p w:rsidR="003222A3" w:rsidRPr="003222A3" w:rsidRDefault="003222A3" w:rsidP="003222A3">
      <w:pPr>
        <w:spacing w:after="120" w:line="300" w:lineRule="exact"/>
        <w:rPr>
          <w:rFonts w:ascii="Georgia" w:hAnsi="Georgia"/>
          <w:lang w:val="en-GB"/>
        </w:rPr>
      </w:pPr>
      <w:r w:rsidRPr="003222A3">
        <w:rPr>
          <w:rFonts w:ascii="Georgia" w:hAnsi="Georgia"/>
          <w:lang w:val="en-GB"/>
        </w:rPr>
        <w:lastRenderedPageBreak/>
        <w:t>The development of more complex WH resources such as teaching kits for schools that face different national approaches to learning or materials with a rather national demand such as the guide for sustainable class trips that is especially interesting for teachers from one country should be realised within the framework of national work programs.</w:t>
      </w:r>
    </w:p>
    <w:p w:rsidR="003222A3" w:rsidRPr="003222A3" w:rsidRDefault="003222A3" w:rsidP="003222A3">
      <w:pPr>
        <w:spacing w:after="120" w:line="300" w:lineRule="exact"/>
        <w:rPr>
          <w:rFonts w:ascii="Georgia" w:hAnsi="Georgia"/>
          <w:lang w:val="en-GB"/>
        </w:rPr>
      </w:pPr>
      <w:r w:rsidRPr="003222A3">
        <w:rPr>
          <w:rFonts w:ascii="Georgia" w:hAnsi="Georgia"/>
          <w:lang w:val="en-GB"/>
        </w:rPr>
        <w:t>The existing national education and interpretation networks as well as governmental and non-governmental conservation bodies comprise the know-how for national aspects of the WH and can best meet the national demands. By taking part in the trilateral workshops, educationalists can share experience and ideas and provide not only ideas for trilateral products, but also inspire each other for national resources.</w:t>
      </w:r>
    </w:p>
    <w:p w:rsidR="003222A3" w:rsidRPr="003222A3" w:rsidRDefault="003222A3" w:rsidP="003222A3">
      <w:pPr>
        <w:spacing w:after="120" w:line="300" w:lineRule="exact"/>
        <w:rPr>
          <w:rFonts w:ascii="Georgia" w:hAnsi="Georgia"/>
          <w:lang w:val="en-GB"/>
        </w:rPr>
      </w:pPr>
      <w:r w:rsidRPr="003222A3">
        <w:rPr>
          <w:rFonts w:ascii="Georgia" w:hAnsi="Georgia"/>
          <w:lang w:val="en-GB"/>
        </w:rPr>
        <w:t>The national WH resources are financed independent of the trilateral IWSS budget by the national bodies realizing the respective resources.</w:t>
      </w:r>
    </w:p>
    <w:p w:rsidR="003222A3" w:rsidRPr="003222A3" w:rsidRDefault="003222A3" w:rsidP="003222A3">
      <w:pPr>
        <w:spacing w:after="120" w:line="300" w:lineRule="exact"/>
        <w:rPr>
          <w:rFonts w:ascii="Georgia" w:hAnsi="Georgia"/>
          <w:lang w:val="en-GB"/>
        </w:rPr>
      </w:pPr>
      <w:r w:rsidRPr="003222A3">
        <w:rPr>
          <w:rFonts w:ascii="Georgia" w:hAnsi="Georgia"/>
          <w:lang w:val="en-GB"/>
        </w:rPr>
        <w:t>To ensure that all trilateral WH products are suitable for the various national situations, meet the demand on a common denominator, are written in an appropriate language and provide a true added value to the national WH products, regional representatives of the national networks shall help the IWSS coordinator with the trilateral work plan. It is estimated that about 5% of a full-time equivalent (allowing ca. 2 work hours per week) would suffice to substantially support the trilateral “usability” of the core WH resources. These costs are not included in the budget proposed here. The regional representatives shall be selected by the regional networks and their contributions to the trilateral work program shall be either assigned as part of their job (if employed by a state body such as the National Parks) or compensated by national funding.</w:t>
      </w:r>
    </w:p>
    <w:p w:rsidR="003222A3" w:rsidRPr="003222A3" w:rsidRDefault="003222A3" w:rsidP="003222A3">
      <w:pPr>
        <w:spacing w:after="120" w:line="300" w:lineRule="exact"/>
        <w:rPr>
          <w:rFonts w:ascii="Georgia" w:hAnsi="Georgia"/>
          <w:lang w:val="en-GB"/>
        </w:rPr>
      </w:pPr>
    </w:p>
    <w:p w:rsidR="003222A3" w:rsidRPr="003222A3" w:rsidRDefault="003222A3" w:rsidP="003222A3">
      <w:pPr>
        <w:pStyle w:val="berschrift2"/>
        <w:numPr>
          <w:ilvl w:val="0"/>
          <w:numId w:val="0"/>
        </w:numPr>
        <w:spacing w:after="120" w:line="300" w:lineRule="exact"/>
        <w:ind w:left="576" w:hanging="576"/>
        <w:rPr>
          <w:rFonts w:ascii="Georgia" w:hAnsi="Georgia"/>
        </w:rPr>
      </w:pPr>
      <w:r w:rsidRPr="003222A3">
        <w:rPr>
          <w:rFonts w:ascii="Georgia" w:hAnsi="Georgia"/>
        </w:rPr>
        <w:t>Proposed Annual Budget for the Trilateral Work Program 2017-2019</w:t>
      </w:r>
    </w:p>
    <w:p w:rsidR="003222A3" w:rsidRPr="003222A3" w:rsidRDefault="003222A3" w:rsidP="003222A3">
      <w:pPr>
        <w:spacing w:after="120" w:line="300" w:lineRule="exact"/>
        <w:rPr>
          <w:rFonts w:ascii="Georgia" w:hAnsi="Georgia"/>
          <w:lang w:val="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
        <w:gridCol w:w="5848"/>
        <w:gridCol w:w="1693"/>
      </w:tblGrid>
      <w:tr w:rsidR="003222A3" w:rsidRPr="003222A3" w:rsidTr="00070885">
        <w:tc>
          <w:tcPr>
            <w:tcW w:w="498" w:type="dxa"/>
          </w:tcPr>
          <w:p w:rsidR="003222A3" w:rsidRPr="003222A3" w:rsidRDefault="003222A3" w:rsidP="003222A3">
            <w:pPr>
              <w:spacing w:after="120" w:line="300" w:lineRule="exact"/>
              <w:jc w:val="right"/>
              <w:rPr>
                <w:rFonts w:ascii="Georgia" w:hAnsi="Georgia"/>
                <w:lang w:val="en-GB"/>
              </w:rPr>
            </w:pPr>
            <w:r w:rsidRPr="003222A3">
              <w:rPr>
                <w:rFonts w:ascii="Georgia" w:hAnsi="Georgia"/>
                <w:lang w:val="en-GB"/>
              </w:rPr>
              <w:t>1</w:t>
            </w:r>
          </w:p>
        </w:tc>
        <w:tc>
          <w:tcPr>
            <w:tcW w:w="5848" w:type="dxa"/>
          </w:tcPr>
          <w:p w:rsidR="003222A3" w:rsidRPr="003222A3" w:rsidRDefault="003222A3" w:rsidP="003222A3">
            <w:pPr>
              <w:spacing w:after="120" w:line="300" w:lineRule="exact"/>
              <w:ind w:right="-1281"/>
              <w:jc w:val="both"/>
              <w:rPr>
                <w:rFonts w:ascii="Georgia" w:hAnsi="Georgia"/>
                <w:lang w:val="en-GB"/>
              </w:rPr>
            </w:pPr>
            <w:r w:rsidRPr="003222A3">
              <w:rPr>
                <w:rFonts w:ascii="Georgia" w:hAnsi="Georgia"/>
                <w:lang w:val="en-GB"/>
              </w:rPr>
              <w:t xml:space="preserve">Staff costs, overhead &amp; travel expenses for coordination of </w:t>
            </w:r>
          </w:p>
          <w:p w:rsidR="003222A3" w:rsidRPr="003222A3" w:rsidRDefault="003222A3" w:rsidP="003222A3">
            <w:pPr>
              <w:spacing w:after="120" w:line="300" w:lineRule="exact"/>
              <w:ind w:right="-1281"/>
              <w:jc w:val="both"/>
              <w:rPr>
                <w:rFonts w:ascii="Georgia" w:hAnsi="Georgia"/>
                <w:lang w:val="en-GB"/>
              </w:rPr>
            </w:pPr>
            <w:r w:rsidRPr="003222A3">
              <w:rPr>
                <w:rFonts w:ascii="Georgia" w:hAnsi="Georgia"/>
                <w:lang w:val="en-GB"/>
              </w:rPr>
              <w:t>trilateral IWSS/WH interpretation activities</w:t>
            </w:r>
          </w:p>
        </w:tc>
        <w:tc>
          <w:tcPr>
            <w:tcW w:w="1693" w:type="dxa"/>
          </w:tcPr>
          <w:p w:rsidR="003222A3" w:rsidRPr="003222A3" w:rsidRDefault="003222A3" w:rsidP="003222A3">
            <w:pPr>
              <w:spacing w:after="120" w:line="300" w:lineRule="exact"/>
              <w:jc w:val="right"/>
              <w:rPr>
                <w:rFonts w:ascii="Georgia" w:hAnsi="Georgia"/>
                <w:lang w:val="en-GB"/>
              </w:rPr>
            </w:pPr>
            <w:r w:rsidRPr="003222A3">
              <w:rPr>
                <w:rFonts w:ascii="Georgia" w:hAnsi="Georgia"/>
                <w:lang w:val="en-GB"/>
              </w:rPr>
              <w:t>16.000 €</w:t>
            </w:r>
          </w:p>
        </w:tc>
      </w:tr>
      <w:tr w:rsidR="003222A3" w:rsidRPr="003222A3" w:rsidTr="00070885">
        <w:tc>
          <w:tcPr>
            <w:tcW w:w="498" w:type="dxa"/>
          </w:tcPr>
          <w:p w:rsidR="003222A3" w:rsidRPr="003222A3" w:rsidRDefault="003222A3" w:rsidP="003222A3">
            <w:pPr>
              <w:spacing w:after="120" w:line="300" w:lineRule="exact"/>
              <w:jc w:val="right"/>
              <w:rPr>
                <w:rFonts w:ascii="Georgia" w:hAnsi="Georgia"/>
                <w:lang w:val="en-GB"/>
              </w:rPr>
            </w:pPr>
            <w:r w:rsidRPr="003222A3">
              <w:rPr>
                <w:rFonts w:ascii="Georgia" w:hAnsi="Georgia"/>
                <w:lang w:val="en-GB"/>
              </w:rPr>
              <w:t>2</w:t>
            </w:r>
          </w:p>
        </w:tc>
        <w:tc>
          <w:tcPr>
            <w:tcW w:w="5848" w:type="dxa"/>
          </w:tcPr>
          <w:p w:rsidR="003222A3" w:rsidRPr="003222A3" w:rsidRDefault="003222A3" w:rsidP="003222A3">
            <w:pPr>
              <w:spacing w:after="120" w:line="300" w:lineRule="exact"/>
              <w:jc w:val="both"/>
              <w:rPr>
                <w:rFonts w:ascii="Georgia" w:hAnsi="Georgia"/>
                <w:lang w:val="en-GB"/>
              </w:rPr>
            </w:pPr>
            <w:r w:rsidRPr="003222A3">
              <w:rPr>
                <w:rFonts w:ascii="Georgia" w:hAnsi="Georgia"/>
                <w:lang w:val="en-GB"/>
              </w:rPr>
              <w:t>1-2 Workshops / Network Meeting (s)</w:t>
            </w:r>
          </w:p>
        </w:tc>
        <w:tc>
          <w:tcPr>
            <w:tcW w:w="1693" w:type="dxa"/>
          </w:tcPr>
          <w:p w:rsidR="003222A3" w:rsidRPr="003222A3" w:rsidRDefault="003222A3" w:rsidP="003222A3">
            <w:pPr>
              <w:spacing w:after="120" w:line="300" w:lineRule="exact"/>
              <w:jc w:val="right"/>
              <w:rPr>
                <w:rFonts w:ascii="Georgia" w:hAnsi="Georgia"/>
                <w:lang w:val="en-GB"/>
              </w:rPr>
            </w:pPr>
            <w:r w:rsidRPr="003222A3">
              <w:rPr>
                <w:rFonts w:ascii="Georgia" w:hAnsi="Georgia"/>
                <w:lang w:val="en-GB"/>
              </w:rPr>
              <w:t>3.000 €</w:t>
            </w:r>
          </w:p>
        </w:tc>
      </w:tr>
      <w:tr w:rsidR="003222A3" w:rsidRPr="003222A3" w:rsidTr="00070885">
        <w:tc>
          <w:tcPr>
            <w:tcW w:w="498" w:type="dxa"/>
          </w:tcPr>
          <w:p w:rsidR="003222A3" w:rsidRPr="003222A3" w:rsidRDefault="003222A3" w:rsidP="003222A3">
            <w:pPr>
              <w:spacing w:after="120" w:line="300" w:lineRule="exact"/>
              <w:jc w:val="right"/>
              <w:rPr>
                <w:rFonts w:ascii="Georgia" w:hAnsi="Georgia"/>
                <w:lang w:val="en-GB"/>
              </w:rPr>
            </w:pPr>
            <w:r w:rsidRPr="003222A3">
              <w:rPr>
                <w:rFonts w:ascii="Georgia" w:hAnsi="Georgia"/>
                <w:lang w:val="en-GB"/>
              </w:rPr>
              <w:t>3</w:t>
            </w:r>
          </w:p>
        </w:tc>
        <w:tc>
          <w:tcPr>
            <w:tcW w:w="5848" w:type="dxa"/>
          </w:tcPr>
          <w:p w:rsidR="003222A3" w:rsidRPr="003222A3" w:rsidRDefault="003222A3" w:rsidP="003222A3">
            <w:pPr>
              <w:spacing w:after="120" w:line="300" w:lineRule="exact"/>
              <w:jc w:val="both"/>
              <w:rPr>
                <w:rFonts w:ascii="Georgia" w:hAnsi="Georgia"/>
                <w:lang w:val="en-GB"/>
              </w:rPr>
            </w:pPr>
            <w:r w:rsidRPr="003222A3">
              <w:rPr>
                <w:rFonts w:ascii="Georgia" w:hAnsi="Georgia"/>
                <w:lang w:val="en-GB"/>
              </w:rPr>
              <w:t>Provision, development and communication of trilateral WH interpretation resources</w:t>
            </w:r>
          </w:p>
        </w:tc>
        <w:tc>
          <w:tcPr>
            <w:tcW w:w="1693" w:type="dxa"/>
          </w:tcPr>
          <w:p w:rsidR="003222A3" w:rsidRPr="003222A3" w:rsidRDefault="003222A3" w:rsidP="003222A3">
            <w:pPr>
              <w:spacing w:after="120" w:line="300" w:lineRule="exact"/>
              <w:jc w:val="right"/>
              <w:rPr>
                <w:rFonts w:ascii="Georgia" w:hAnsi="Georgia"/>
                <w:lang w:val="en-GB"/>
              </w:rPr>
            </w:pPr>
            <w:r w:rsidRPr="003222A3">
              <w:rPr>
                <w:rFonts w:ascii="Georgia" w:hAnsi="Georgia"/>
                <w:lang w:val="en-GB"/>
              </w:rPr>
              <w:t>11.000 €</w:t>
            </w:r>
          </w:p>
        </w:tc>
      </w:tr>
      <w:tr w:rsidR="003222A3" w:rsidRPr="003222A3" w:rsidTr="00070885">
        <w:tc>
          <w:tcPr>
            <w:tcW w:w="498" w:type="dxa"/>
          </w:tcPr>
          <w:p w:rsidR="003222A3" w:rsidRPr="003222A3" w:rsidRDefault="003222A3" w:rsidP="003222A3">
            <w:pPr>
              <w:spacing w:after="120" w:line="300" w:lineRule="exact"/>
              <w:rPr>
                <w:rFonts w:ascii="Georgia" w:hAnsi="Georgia"/>
                <w:lang w:val="en-GB"/>
              </w:rPr>
            </w:pPr>
          </w:p>
        </w:tc>
        <w:tc>
          <w:tcPr>
            <w:tcW w:w="5848" w:type="dxa"/>
          </w:tcPr>
          <w:p w:rsidR="003222A3" w:rsidRPr="003222A3" w:rsidRDefault="003222A3" w:rsidP="003222A3">
            <w:pPr>
              <w:spacing w:after="120" w:line="300" w:lineRule="exact"/>
              <w:jc w:val="right"/>
              <w:rPr>
                <w:rFonts w:ascii="Georgia" w:hAnsi="Georgia"/>
                <w:b/>
                <w:lang w:val="en-GB"/>
              </w:rPr>
            </w:pPr>
            <w:r w:rsidRPr="003222A3">
              <w:rPr>
                <w:rFonts w:ascii="Georgia" w:hAnsi="Georgia"/>
                <w:b/>
                <w:lang w:val="en-GB"/>
              </w:rPr>
              <w:t>Total</w:t>
            </w:r>
          </w:p>
        </w:tc>
        <w:tc>
          <w:tcPr>
            <w:tcW w:w="1693" w:type="dxa"/>
          </w:tcPr>
          <w:p w:rsidR="003222A3" w:rsidRPr="003222A3" w:rsidRDefault="003222A3" w:rsidP="003222A3">
            <w:pPr>
              <w:spacing w:after="120" w:line="300" w:lineRule="exact"/>
              <w:jc w:val="right"/>
              <w:rPr>
                <w:rFonts w:ascii="Georgia" w:hAnsi="Georgia"/>
                <w:b/>
                <w:lang w:val="en-GB"/>
              </w:rPr>
            </w:pPr>
            <w:r w:rsidRPr="003222A3">
              <w:rPr>
                <w:rFonts w:ascii="Georgia" w:hAnsi="Georgia"/>
                <w:b/>
                <w:lang w:val="en-GB"/>
              </w:rPr>
              <w:fldChar w:fldCharType="begin"/>
            </w:r>
            <w:r w:rsidRPr="003222A3">
              <w:rPr>
                <w:rFonts w:ascii="Georgia" w:hAnsi="Georgia"/>
                <w:b/>
                <w:lang w:val="en-GB"/>
              </w:rPr>
              <w:instrText xml:space="preserve"> =SUM(ÜBER) </w:instrText>
            </w:r>
            <w:r w:rsidRPr="003222A3">
              <w:rPr>
                <w:rFonts w:ascii="Georgia" w:hAnsi="Georgia"/>
                <w:b/>
                <w:lang w:val="en-GB"/>
              </w:rPr>
              <w:fldChar w:fldCharType="separate"/>
            </w:r>
            <w:r w:rsidRPr="003222A3">
              <w:rPr>
                <w:rFonts w:ascii="Georgia" w:hAnsi="Georgia"/>
                <w:b/>
                <w:noProof/>
                <w:lang w:val="en-GB"/>
              </w:rPr>
              <w:t>30.000</w:t>
            </w:r>
            <w:r w:rsidRPr="003222A3">
              <w:rPr>
                <w:rFonts w:ascii="Georgia" w:hAnsi="Georgia"/>
                <w:b/>
                <w:lang w:val="en-GB"/>
              </w:rPr>
              <w:fldChar w:fldCharType="end"/>
            </w:r>
          </w:p>
        </w:tc>
      </w:tr>
    </w:tbl>
    <w:p w:rsidR="003222A3" w:rsidRDefault="003222A3" w:rsidP="003222A3">
      <w:pPr>
        <w:spacing w:after="120" w:line="300" w:lineRule="exact"/>
        <w:rPr>
          <w:rFonts w:ascii="Arial" w:hAnsi="Arial" w:cs="Arial"/>
          <w:lang w:val="en-GB"/>
        </w:rPr>
      </w:pPr>
    </w:p>
    <w:p w:rsidR="00593F97" w:rsidRDefault="00593F97" w:rsidP="003222A3">
      <w:pPr>
        <w:spacing w:after="120" w:line="300" w:lineRule="exact"/>
        <w:rPr>
          <w:rFonts w:ascii="Arial" w:hAnsi="Arial" w:cs="Arial"/>
          <w:lang w:val="en-GB"/>
        </w:rPr>
      </w:pPr>
    </w:p>
    <w:p w:rsidR="00593F97" w:rsidRDefault="00593F97" w:rsidP="003222A3">
      <w:pPr>
        <w:spacing w:after="120" w:line="300" w:lineRule="exact"/>
        <w:rPr>
          <w:rFonts w:ascii="Arial" w:hAnsi="Arial" w:cs="Arial"/>
          <w:lang w:val="en-GB"/>
        </w:rPr>
        <w:sectPr w:rsidR="00593F97" w:rsidSect="001C042F">
          <w:headerReference w:type="default" r:id="rId11"/>
          <w:pgSz w:w="11907" w:h="16840" w:code="9"/>
          <w:pgMar w:top="1440" w:right="1797" w:bottom="1440" w:left="1797" w:header="709" w:footer="709" w:gutter="0"/>
          <w:cols w:space="708"/>
          <w:titlePg/>
          <w:docGrid w:linePitch="360"/>
        </w:sectPr>
      </w:pPr>
    </w:p>
    <w:p w:rsidR="00593F97" w:rsidRDefault="00593F97" w:rsidP="003222A3">
      <w:pPr>
        <w:spacing w:after="120" w:line="300" w:lineRule="exact"/>
        <w:rPr>
          <w:rFonts w:ascii="Arial" w:hAnsi="Arial" w:cs="Arial"/>
          <w:lang w:val="en-GB"/>
        </w:rPr>
      </w:pPr>
      <w:r>
        <w:rPr>
          <w:rFonts w:ascii="Arial" w:hAnsi="Arial" w:cs="Arial"/>
          <w:noProof/>
          <w:lang w:val="de-DE" w:eastAsia="de-DE"/>
        </w:rPr>
        <w:lastRenderedPageBreak/>
        <w:drawing>
          <wp:anchor distT="0" distB="0" distL="114300" distR="114300" simplePos="0" relativeHeight="251663360" behindDoc="0" locked="0" layoutInCell="1" allowOverlap="1" wp14:anchorId="5E491987" wp14:editId="35652E74">
            <wp:simplePos x="0" y="0"/>
            <wp:positionH relativeFrom="column">
              <wp:posOffset>-829340</wp:posOffset>
            </wp:positionH>
            <wp:positionV relativeFrom="paragraph">
              <wp:posOffset>-1066667</wp:posOffset>
            </wp:positionV>
            <wp:extent cx="10728252" cy="7460593"/>
            <wp:effectExtent l="0" t="0" r="0" b="762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28252" cy="746059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93F97" w:rsidRDefault="00593F97" w:rsidP="003222A3">
      <w:pPr>
        <w:spacing w:after="120" w:line="300" w:lineRule="exact"/>
        <w:rPr>
          <w:rFonts w:ascii="Arial" w:hAnsi="Arial" w:cs="Arial"/>
          <w:lang w:val="en-GB"/>
        </w:rPr>
      </w:pPr>
    </w:p>
    <w:p w:rsidR="00593F97" w:rsidRDefault="00593F97" w:rsidP="003222A3">
      <w:pPr>
        <w:spacing w:after="120" w:line="300" w:lineRule="exact"/>
        <w:rPr>
          <w:rFonts w:ascii="Arial" w:hAnsi="Arial" w:cs="Arial"/>
          <w:lang w:val="en-GB"/>
        </w:rPr>
      </w:pPr>
    </w:p>
    <w:p w:rsidR="00593F97" w:rsidRDefault="00593F97" w:rsidP="003222A3">
      <w:pPr>
        <w:spacing w:after="120" w:line="300" w:lineRule="exact"/>
        <w:rPr>
          <w:rFonts w:ascii="Arial" w:hAnsi="Arial" w:cs="Arial"/>
          <w:lang w:val="en-GB"/>
        </w:rPr>
      </w:pPr>
    </w:p>
    <w:p w:rsidR="00593F97" w:rsidRDefault="00593F97" w:rsidP="003222A3">
      <w:pPr>
        <w:spacing w:after="120" w:line="300" w:lineRule="exact"/>
        <w:rPr>
          <w:rFonts w:ascii="Arial" w:hAnsi="Arial" w:cs="Arial"/>
          <w:lang w:val="en-GB"/>
        </w:rPr>
      </w:pPr>
    </w:p>
    <w:p w:rsidR="00593F97" w:rsidRDefault="00593F97" w:rsidP="003222A3">
      <w:pPr>
        <w:spacing w:after="120" w:line="300" w:lineRule="exact"/>
        <w:rPr>
          <w:rFonts w:ascii="Arial" w:hAnsi="Arial" w:cs="Arial"/>
          <w:lang w:val="en-GB"/>
        </w:rPr>
      </w:pPr>
    </w:p>
    <w:p w:rsidR="00593F97" w:rsidRDefault="00593F97" w:rsidP="003222A3">
      <w:pPr>
        <w:spacing w:after="120" w:line="300" w:lineRule="exact"/>
        <w:rPr>
          <w:rFonts w:ascii="Arial" w:hAnsi="Arial" w:cs="Arial"/>
          <w:lang w:val="en-GB"/>
        </w:rPr>
      </w:pPr>
    </w:p>
    <w:p w:rsidR="00593F97" w:rsidRDefault="00593F97" w:rsidP="003222A3">
      <w:pPr>
        <w:spacing w:after="120" w:line="300" w:lineRule="exact"/>
        <w:rPr>
          <w:rFonts w:ascii="Arial" w:hAnsi="Arial" w:cs="Arial"/>
          <w:lang w:val="en-GB"/>
        </w:rPr>
      </w:pPr>
    </w:p>
    <w:p w:rsidR="00593F97" w:rsidRDefault="00593F97" w:rsidP="003222A3">
      <w:pPr>
        <w:spacing w:after="120" w:line="300" w:lineRule="exact"/>
        <w:rPr>
          <w:rFonts w:ascii="Arial" w:hAnsi="Arial" w:cs="Arial"/>
          <w:lang w:val="en-GB"/>
        </w:rPr>
      </w:pPr>
    </w:p>
    <w:p w:rsidR="00593F97" w:rsidRDefault="00593F97" w:rsidP="003222A3">
      <w:pPr>
        <w:spacing w:after="120" w:line="300" w:lineRule="exact"/>
        <w:rPr>
          <w:rFonts w:ascii="Arial" w:hAnsi="Arial" w:cs="Arial"/>
          <w:lang w:val="en-GB"/>
        </w:rPr>
      </w:pPr>
    </w:p>
    <w:p w:rsidR="00593F97" w:rsidRDefault="00593F97" w:rsidP="003222A3">
      <w:pPr>
        <w:spacing w:after="120" w:line="300" w:lineRule="exact"/>
        <w:rPr>
          <w:rFonts w:ascii="Arial" w:hAnsi="Arial" w:cs="Arial"/>
          <w:lang w:val="en-GB"/>
        </w:rPr>
      </w:pPr>
    </w:p>
    <w:p w:rsidR="00593F97" w:rsidRDefault="00593F97" w:rsidP="003222A3">
      <w:pPr>
        <w:spacing w:after="120" w:line="300" w:lineRule="exact"/>
        <w:rPr>
          <w:rFonts w:ascii="Arial" w:hAnsi="Arial" w:cs="Arial"/>
          <w:lang w:val="en-GB"/>
        </w:rPr>
      </w:pPr>
    </w:p>
    <w:p w:rsidR="00593F97" w:rsidRDefault="00593F97" w:rsidP="003222A3">
      <w:pPr>
        <w:spacing w:after="120" w:line="300" w:lineRule="exact"/>
        <w:rPr>
          <w:rFonts w:ascii="Arial" w:hAnsi="Arial" w:cs="Arial"/>
          <w:lang w:val="en-GB"/>
        </w:rPr>
      </w:pPr>
    </w:p>
    <w:p w:rsidR="00593F97" w:rsidRDefault="00593F97" w:rsidP="003222A3">
      <w:pPr>
        <w:spacing w:after="120" w:line="300" w:lineRule="exact"/>
        <w:rPr>
          <w:rFonts w:ascii="Arial" w:hAnsi="Arial" w:cs="Arial"/>
          <w:lang w:val="en-GB"/>
        </w:rPr>
      </w:pPr>
    </w:p>
    <w:p w:rsidR="00593F97" w:rsidRDefault="00593F97" w:rsidP="003222A3">
      <w:pPr>
        <w:spacing w:after="120" w:line="300" w:lineRule="exact"/>
        <w:rPr>
          <w:rFonts w:ascii="Arial" w:hAnsi="Arial" w:cs="Arial"/>
          <w:lang w:val="en-GB"/>
        </w:rPr>
      </w:pPr>
    </w:p>
    <w:p w:rsidR="00593F97" w:rsidRDefault="00593F97" w:rsidP="003222A3">
      <w:pPr>
        <w:spacing w:after="120" w:line="300" w:lineRule="exact"/>
        <w:rPr>
          <w:rFonts w:ascii="Arial" w:hAnsi="Arial" w:cs="Arial"/>
          <w:lang w:val="en-GB"/>
        </w:rPr>
      </w:pPr>
    </w:p>
    <w:sectPr w:rsidR="00593F97" w:rsidSect="00593F97">
      <w:pgSz w:w="16840" w:h="11907" w:orient="landscape" w:code="9"/>
      <w:pgMar w:top="1797" w:right="1440" w:bottom="1797"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WWF">
    <w:altName w:val="Times New Roman"/>
    <w:charset w:val="00"/>
    <w:family w:val="auto"/>
    <w:pitch w:val="variable"/>
    <w:sig w:usb0="A00002AF" w:usb1="4000205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sidR="00007DD7">
      <w:rPr>
        <w:rFonts w:ascii="Arial" w:hAnsi="Arial" w:cs="Arial"/>
        <w:sz w:val="20"/>
        <w:szCs w:val="20"/>
      </w:rPr>
      <w:t>9</w:t>
    </w:r>
    <w:r w:rsidR="001C042F" w:rsidRPr="001C042F">
      <w:rPr>
        <w:rFonts w:ascii="Arial" w:hAnsi="Arial" w:cs="Arial"/>
        <w:sz w:val="20"/>
        <w:szCs w:val="20"/>
      </w:rPr>
      <w:t>/</w:t>
    </w:r>
    <w:r w:rsidR="003222A3">
      <w:rPr>
        <w:rFonts w:ascii="Arial" w:hAnsi="Arial" w:cs="Arial"/>
        <w:sz w:val="20"/>
        <w:szCs w:val="20"/>
      </w:rPr>
      <w:t>5.10/1 IWSS 2017 - 2017</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127D9A" w:rsidRPr="00127D9A">
      <w:rPr>
        <w:rFonts w:ascii="Arial" w:hAnsi="Arial" w:cs="Arial"/>
        <w:noProof/>
        <w:sz w:val="20"/>
        <w:szCs w:val="20"/>
        <w:lang w:val="de-DE"/>
      </w:rPr>
      <w:t>3</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760E59B6"/>
    <w:lvl w:ilvl="0">
      <w:start w:val="1"/>
      <w:numFmt w:val="bullet"/>
      <w:lvlText w:val=""/>
      <w:lvlJc w:val="left"/>
      <w:pPr>
        <w:tabs>
          <w:tab w:val="num" w:pos="926"/>
        </w:tabs>
        <w:ind w:left="926" w:hanging="360"/>
      </w:pPr>
      <w:rPr>
        <w:rFonts w:ascii="Symbol" w:hAnsi="Symbol" w:hint="default"/>
      </w:r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6AD2044"/>
    <w:multiLevelType w:val="hybridMultilevel"/>
    <w:tmpl w:val="8D1CC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1">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9">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1"/>
  </w:num>
  <w:num w:numId="2">
    <w:abstractNumId w:val="11"/>
  </w:num>
  <w:num w:numId="3">
    <w:abstractNumId w:val="11"/>
  </w:num>
  <w:num w:numId="4">
    <w:abstractNumId w:val="5"/>
  </w:num>
  <w:num w:numId="5">
    <w:abstractNumId w:val="16"/>
  </w:num>
  <w:num w:numId="6">
    <w:abstractNumId w:val="1"/>
  </w:num>
  <w:num w:numId="7">
    <w:abstractNumId w:val="14"/>
  </w:num>
  <w:num w:numId="8">
    <w:abstractNumId w:val="15"/>
  </w:num>
  <w:num w:numId="9">
    <w:abstractNumId w:val="9"/>
  </w:num>
  <w:num w:numId="10">
    <w:abstractNumId w:val="7"/>
  </w:num>
  <w:num w:numId="11">
    <w:abstractNumId w:val="17"/>
  </w:num>
  <w:num w:numId="12">
    <w:abstractNumId w:val="4"/>
  </w:num>
  <w:num w:numId="13">
    <w:abstractNumId w:val="19"/>
  </w:num>
  <w:num w:numId="14">
    <w:abstractNumId w:val="2"/>
  </w:num>
  <w:num w:numId="15">
    <w:abstractNumId w:val="12"/>
  </w:num>
  <w:num w:numId="16">
    <w:abstractNumId w:val="18"/>
  </w:num>
  <w:num w:numId="17">
    <w:abstractNumId w:val="3"/>
  </w:num>
  <w:num w:numId="18">
    <w:abstractNumId w:val="10"/>
  </w:num>
  <w:num w:numId="19">
    <w:abstractNumId w:val="13"/>
  </w:num>
  <w:num w:numId="20">
    <w:abstractNumId w:val="6"/>
  </w:num>
  <w:num w:numId="21">
    <w:abstractNumId w:val="0"/>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27D9A"/>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222A3"/>
    <w:rsid w:val="00333535"/>
    <w:rsid w:val="00336615"/>
    <w:rsid w:val="00340678"/>
    <w:rsid w:val="00342BBA"/>
    <w:rsid w:val="00367F1A"/>
    <w:rsid w:val="00375097"/>
    <w:rsid w:val="003951D7"/>
    <w:rsid w:val="003A4E03"/>
    <w:rsid w:val="003A6B2B"/>
    <w:rsid w:val="003B2160"/>
    <w:rsid w:val="003B2804"/>
    <w:rsid w:val="003D2626"/>
    <w:rsid w:val="003D5EE2"/>
    <w:rsid w:val="003D6420"/>
    <w:rsid w:val="003D6D11"/>
    <w:rsid w:val="003E6517"/>
    <w:rsid w:val="003E673D"/>
    <w:rsid w:val="003F3217"/>
    <w:rsid w:val="0041392A"/>
    <w:rsid w:val="0041642B"/>
    <w:rsid w:val="004634D9"/>
    <w:rsid w:val="00464803"/>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3F97"/>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E651C"/>
    <w:rsid w:val="00AE7C2D"/>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CBE"/>
    <w:rsid w:val="00CA4F12"/>
    <w:rsid w:val="00CD0E99"/>
    <w:rsid w:val="00CE4943"/>
    <w:rsid w:val="00D02CC2"/>
    <w:rsid w:val="00D045F6"/>
    <w:rsid w:val="00D04A2E"/>
    <w:rsid w:val="00D10487"/>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43EBC"/>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paragraph" w:customStyle="1" w:styleId="Titelberschrift1">
    <w:name w:val="Titelüberschrift 1"/>
    <w:basedOn w:val="Standard"/>
    <w:qFormat/>
    <w:rsid w:val="003222A3"/>
    <w:pPr>
      <w:spacing w:after="640" w:line="800" w:lineRule="exact"/>
    </w:pPr>
    <w:rPr>
      <w:rFonts w:ascii="WWF" w:eastAsiaTheme="minorHAnsi" w:hAnsi="WWF" w:cstheme="minorBidi"/>
      <w:color w:val="00759C"/>
      <w:spacing w:val="-4"/>
      <w:sz w:val="80"/>
      <w:szCs w:val="22"/>
      <w:lang w:val="de-DE"/>
    </w:rPr>
  </w:style>
  <w:style w:type="paragraph" w:customStyle="1" w:styleId="Titelberschrift2">
    <w:name w:val="Titelüberschrift2"/>
    <w:basedOn w:val="Standard"/>
    <w:link w:val="Titelberschrift2Zchn"/>
    <w:qFormat/>
    <w:rsid w:val="003222A3"/>
    <w:pPr>
      <w:spacing w:line="800" w:lineRule="exact"/>
    </w:pPr>
    <w:rPr>
      <w:rFonts w:ascii="WWF" w:eastAsiaTheme="minorHAnsi" w:hAnsi="WWF" w:cstheme="minorBidi"/>
      <w:color w:val="46C6E9"/>
      <w:spacing w:val="-3"/>
      <w:sz w:val="80"/>
      <w:szCs w:val="22"/>
      <w:lang w:val="de-DE"/>
    </w:rPr>
  </w:style>
  <w:style w:type="character" w:customStyle="1" w:styleId="Titelberschrift2Zchn">
    <w:name w:val="Titelüberschrift2 Zchn"/>
    <w:basedOn w:val="Absatz-Standardschriftart"/>
    <w:link w:val="Titelberschrift2"/>
    <w:rsid w:val="003222A3"/>
    <w:rPr>
      <w:rFonts w:ascii="WWF" w:eastAsiaTheme="minorHAnsi" w:hAnsi="WWF" w:cstheme="minorBidi"/>
      <w:color w:val="46C6E9"/>
      <w:spacing w:val="-3"/>
      <w:sz w:val="80"/>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paragraph" w:customStyle="1" w:styleId="Titelberschrift1">
    <w:name w:val="Titelüberschrift 1"/>
    <w:basedOn w:val="Standard"/>
    <w:qFormat/>
    <w:rsid w:val="003222A3"/>
    <w:pPr>
      <w:spacing w:after="640" w:line="800" w:lineRule="exact"/>
    </w:pPr>
    <w:rPr>
      <w:rFonts w:ascii="WWF" w:eastAsiaTheme="minorHAnsi" w:hAnsi="WWF" w:cstheme="minorBidi"/>
      <w:color w:val="00759C"/>
      <w:spacing w:val="-4"/>
      <w:sz w:val="80"/>
      <w:szCs w:val="22"/>
      <w:lang w:val="de-DE"/>
    </w:rPr>
  </w:style>
  <w:style w:type="paragraph" w:customStyle="1" w:styleId="Titelberschrift2">
    <w:name w:val="Titelüberschrift2"/>
    <w:basedOn w:val="Standard"/>
    <w:link w:val="Titelberschrift2Zchn"/>
    <w:qFormat/>
    <w:rsid w:val="003222A3"/>
    <w:pPr>
      <w:spacing w:line="800" w:lineRule="exact"/>
    </w:pPr>
    <w:rPr>
      <w:rFonts w:ascii="WWF" w:eastAsiaTheme="minorHAnsi" w:hAnsi="WWF" w:cstheme="minorBidi"/>
      <w:color w:val="46C6E9"/>
      <w:spacing w:val="-3"/>
      <w:sz w:val="80"/>
      <w:szCs w:val="22"/>
      <w:lang w:val="de-DE"/>
    </w:rPr>
  </w:style>
  <w:style w:type="character" w:customStyle="1" w:styleId="Titelberschrift2Zchn">
    <w:name w:val="Titelüberschrift2 Zchn"/>
    <w:basedOn w:val="Absatz-Standardschriftart"/>
    <w:link w:val="Titelberschrift2"/>
    <w:rsid w:val="003222A3"/>
    <w:rPr>
      <w:rFonts w:ascii="WWF" w:eastAsiaTheme="minorHAnsi" w:hAnsi="WWF" w:cstheme="minorBidi"/>
      <w:color w:val="46C6E9"/>
      <w:spacing w:val="-3"/>
      <w:sz w:val="8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0FCD83-EA0D-4FFB-9B23-49C4FF4A5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693</Words>
  <Characters>4016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Harald Marencic</cp:lastModifiedBy>
  <cp:revision>7</cp:revision>
  <cp:lastPrinted>2017-03-02T15:51:00Z</cp:lastPrinted>
  <dcterms:created xsi:type="dcterms:W3CDTF">2017-03-02T15:38:00Z</dcterms:created>
  <dcterms:modified xsi:type="dcterms:W3CDTF">2017-03-02T15:51:00Z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