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8988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7048EE">
        <w:rPr>
          <w:b/>
          <w:sz w:val="22"/>
          <w:szCs w:val="22"/>
          <w:lang w:val="en-GB"/>
        </w:rPr>
        <w:t>5.1</w:t>
      </w:r>
      <w:r w:rsidR="001D104A">
        <w:rPr>
          <w:b/>
          <w:sz w:val="22"/>
          <w:szCs w:val="22"/>
          <w:lang w:val="en-GB"/>
        </w:rPr>
        <w:t>1</w:t>
      </w:r>
      <w:r w:rsidR="007048EE">
        <w:rPr>
          <w:b/>
          <w:sz w:val="22"/>
          <w:szCs w:val="22"/>
          <w:lang w:val="en-GB"/>
        </w:rPr>
        <w:t xml:space="preserve"> </w:t>
      </w:r>
    </w:p>
    <w:p w:rsidR="007D5514" w:rsidRPr="007048EE"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1D104A" w:rsidRPr="001D104A">
        <w:rPr>
          <w:sz w:val="22"/>
          <w:szCs w:val="22"/>
          <w:lang w:val="en-GB"/>
        </w:rPr>
        <w:t>Call for Action</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7048EE">
        <w:rPr>
          <w:sz w:val="22"/>
          <w:szCs w:val="22"/>
          <w:lang w:val="en-GB"/>
        </w:rPr>
        <w:t>7/</w:t>
      </w:r>
      <w:r w:rsidR="001D104A">
        <w:rPr>
          <w:sz w:val="22"/>
          <w:szCs w:val="22"/>
          <w:lang w:val="en-GB"/>
        </w:rPr>
        <w:t>11</w:t>
      </w:r>
      <w:r w:rsidR="004F736E">
        <w:rPr>
          <w:sz w:val="22"/>
          <w:szCs w:val="22"/>
          <w:lang w:val="en-GB"/>
        </w:rPr>
        <w:t>/</w:t>
      </w:r>
      <w:r w:rsidR="001D104A">
        <w:rPr>
          <w:sz w:val="22"/>
          <w:szCs w:val="22"/>
          <w:lang w:val="en-GB"/>
        </w:rPr>
        <w:t>1</w:t>
      </w:r>
    </w:p>
    <w:p w:rsidR="003D6D11" w:rsidRPr="00B52D55" w:rsidRDefault="003D6D11" w:rsidP="00884A64">
      <w:pPr>
        <w:tabs>
          <w:tab w:val="left" w:pos="2160"/>
        </w:tabs>
        <w:spacing w:after="120" w:line="276" w:lineRule="auto"/>
        <w:rPr>
          <w:sz w:val="22"/>
          <w:szCs w:val="22"/>
          <w:lang w:val="en-GB"/>
        </w:rPr>
      </w:pPr>
      <w:r w:rsidRPr="00884A64">
        <w:rPr>
          <w:b/>
          <w:sz w:val="22"/>
          <w:szCs w:val="22"/>
          <w:lang w:val="en-GB"/>
        </w:rPr>
        <w:t>Date:</w:t>
      </w:r>
      <w:r w:rsidRPr="00884A64">
        <w:rPr>
          <w:b/>
          <w:sz w:val="22"/>
          <w:szCs w:val="22"/>
          <w:lang w:val="en-GB"/>
        </w:rPr>
        <w:tab/>
      </w:r>
      <w:r w:rsidR="00B52D55" w:rsidRPr="00B52D55">
        <w:rPr>
          <w:sz w:val="22"/>
          <w:szCs w:val="22"/>
          <w:lang w:val="en-GB"/>
        </w:rPr>
        <w:t>12 October 2018</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3C28D1">
        <w:rPr>
          <w:b/>
          <w:sz w:val="22"/>
          <w:szCs w:val="22"/>
          <w:lang w:val="en-GB"/>
        </w:rPr>
        <w:tab/>
      </w:r>
      <w:r w:rsidR="003C28D1">
        <w:rPr>
          <w:b/>
          <w:sz w:val="22"/>
          <w:szCs w:val="22"/>
          <w:lang w:val="en-GB"/>
        </w:rPr>
        <w:tab/>
      </w:r>
      <w:r w:rsidR="001D104A">
        <w:rPr>
          <w:b/>
          <w:sz w:val="22"/>
          <w:szCs w:val="22"/>
          <w:lang w:val="en-GB"/>
        </w:rPr>
        <w:t>Wadden Sea Team</w:t>
      </w:r>
    </w:p>
    <w:p w:rsidR="000132A4" w:rsidRDefault="000132A4" w:rsidP="00884A64">
      <w:pPr>
        <w:pStyle w:val="Kopfzeile"/>
        <w:tabs>
          <w:tab w:val="clear" w:pos="4703"/>
          <w:tab w:val="clear" w:pos="9406"/>
        </w:tabs>
        <w:spacing w:after="120" w:line="276" w:lineRule="auto"/>
        <w:rPr>
          <w:sz w:val="22"/>
          <w:szCs w:val="22"/>
          <w:lang w:val="en-GB" w:eastAsia="de-DE"/>
        </w:rPr>
      </w:pPr>
    </w:p>
    <w:p w:rsidR="00075502" w:rsidRDefault="007048EE"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Attache</w:t>
      </w:r>
      <w:r w:rsidR="000132A4">
        <w:rPr>
          <w:sz w:val="22"/>
          <w:szCs w:val="22"/>
          <w:lang w:val="en-GB" w:eastAsia="de-DE"/>
        </w:rPr>
        <w:t>d</w:t>
      </w:r>
      <w:r>
        <w:rPr>
          <w:sz w:val="22"/>
          <w:szCs w:val="22"/>
          <w:lang w:val="en-GB" w:eastAsia="de-DE"/>
        </w:rPr>
        <w:t xml:space="preserve"> is the </w:t>
      </w:r>
      <w:r w:rsidR="001D104A">
        <w:rPr>
          <w:sz w:val="22"/>
          <w:szCs w:val="22"/>
          <w:lang w:val="en-GB" w:eastAsia="de-DE"/>
        </w:rPr>
        <w:t>Call for Action submitted by the Wadden Sea Team</w:t>
      </w:r>
      <w:r w:rsidR="004F736E">
        <w:rPr>
          <w:sz w:val="22"/>
          <w:szCs w:val="22"/>
          <w:lang w:val="en-GB" w:eastAsia="de-DE"/>
        </w:rPr>
        <w:t xml:space="preserve">. </w:t>
      </w:r>
    </w:p>
    <w:p w:rsidR="007048EE" w:rsidRPr="00B52D55" w:rsidRDefault="007048EE" w:rsidP="00884A64">
      <w:pPr>
        <w:pStyle w:val="Kopfzeile"/>
        <w:tabs>
          <w:tab w:val="clear" w:pos="4703"/>
          <w:tab w:val="clear" w:pos="9406"/>
        </w:tabs>
        <w:spacing w:after="120" w:line="276" w:lineRule="auto"/>
        <w:rPr>
          <w:b/>
          <w:sz w:val="22"/>
          <w:szCs w:val="22"/>
          <w:lang w:val="en-GB" w:eastAsia="de-DE"/>
        </w:rPr>
      </w:pPr>
    </w:p>
    <w:p w:rsidR="001D104A" w:rsidRDefault="003D6D11" w:rsidP="00B52D55">
      <w:pPr>
        <w:spacing w:after="120" w:line="276" w:lineRule="auto"/>
        <w:rPr>
          <w:sz w:val="22"/>
          <w:szCs w:val="22"/>
          <w:lang w:val="en-GB" w:eastAsia="de-DE"/>
        </w:rPr>
      </w:pPr>
      <w:r w:rsidRPr="00B52D55">
        <w:rPr>
          <w:b/>
          <w:bCs/>
          <w:sz w:val="22"/>
          <w:szCs w:val="22"/>
          <w:lang w:val="en-GB"/>
        </w:rPr>
        <w:t>Proposal</w:t>
      </w:r>
      <w:r w:rsidR="00E20D83" w:rsidRPr="00B52D55">
        <w:rPr>
          <w:b/>
          <w:bCs/>
          <w:sz w:val="22"/>
          <w:szCs w:val="22"/>
          <w:lang w:val="en-GB"/>
        </w:rPr>
        <w:t>:</w:t>
      </w:r>
      <w:r w:rsidR="001D104A" w:rsidRPr="002F05CF">
        <w:rPr>
          <w:sz w:val="22"/>
          <w:szCs w:val="22"/>
          <w:lang w:val="en-GB" w:eastAsia="de-DE"/>
        </w:rPr>
        <w:t xml:space="preserve"> The WSB is requested to consider and discuss the Call for Action</w:t>
      </w:r>
      <w:r w:rsidR="00B52D55">
        <w:rPr>
          <w:sz w:val="22"/>
          <w:szCs w:val="22"/>
          <w:lang w:val="en-GB" w:eastAsia="de-DE"/>
        </w:rPr>
        <w:t>.</w:t>
      </w:r>
    </w:p>
    <w:p w:rsidR="00B52D55" w:rsidRPr="002F05CF" w:rsidRDefault="00B52D55" w:rsidP="00B52D55">
      <w:pPr>
        <w:spacing w:after="120" w:line="276" w:lineRule="auto"/>
        <w:rPr>
          <w:sz w:val="22"/>
          <w:szCs w:val="22"/>
          <w:lang w:val="en-GB" w:eastAsia="de-DE"/>
        </w:rPr>
      </w:pPr>
    </w:p>
    <w:p w:rsidR="001D104A" w:rsidRPr="002F05CF" w:rsidRDefault="001D104A" w:rsidP="001D104A">
      <w:pPr>
        <w:rPr>
          <w:sz w:val="22"/>
          <w:szCs w:val="22"/>
          <w:lang w:val="en-GB" w:eastAsia="de-DE"/>
        </w:rPr>
      </w:pPr>
      <w:r w:rsidRPr="002F05CF">
        <w:rPr>
          <w:sz w:val="22"/>
          <w:szCs w:val="22"/>
          <w:lang w:val="en-GB" w:eastAsia="de-DE"/>
        </w:rPr>
        <w:t>Explanatory note:</w:t>
      </w:r>
      <w:r w:rsidR="00B52D55">
        <w:rPr>
          <w:sz w:val="22"/>
          <w:szCs w:val="22"/>
          <w:lang w:val="en-GB" w:eastAsia="de-DE"/>
        </w:rPr>
        <w:t xml:space="preserve"> </w:t>
      </w:r>
      <w:r w:rsidRPr="002F05CF">
        <w:rPr>
          <w:sz w:val="22"/>
          <w:szCs w:val="22"/>
          <w:lang w:val="en-GB" w:eastAsia="de-DE"/>
        </w:rPr>
        <w:t xml:space="preserve">The present Call for Action was developed jointly by the Danish, Dutch and German NGOs cooperating in the framework of the Wadden Sea Team and highlights key policy issues needing to be addressed </w:t>
      </w:r>
      <w:r w:rsidR="00B52D55">
        <w:rPr>
          <w:sz w:val="22"/>
          <w:szCs w:val="22"/>
          <w:lang w:val="en-GB" w:eastAsia="de-DE"/>
        </w:rPr>
        <w:t>in the course of</w:t>
      </w:r>
      <w:r w:rsidRPr="002F05CF">
        <w:rPr>
          <w:sz w:val="22"/>
          <w:szCs w:val="22"/>
          <w:lang w:val="en-GB" w:eastAsia="de-DE"/>
        </w:rPr>
        <w:t xml:space="preserve"> the Ge</w:t>
      </w:r>
      <w:r w:rsidR="00B52D55">
        <w:rPr>
          <w:sz w:val="22"/>
          <w:szCs w:val="22"/>
          <w:lang w:val="en-GB" w:eastAsia="de-DE"/>
        </w:rPr>
        <w:t>rman</w:t>
      </w:r>
      <w:r w:rsidRPr="002F05CF">
        <w:rPr>
          <w:sz w:val="22"/>
          <w:szCs w:val="22"/>
          <w:lang w:val="en-GB" w:eastAsia="de-DE"/>
        </w:rPr>
        <w:t xml:space="preserve"> Presidency of the Trilateral Wadden Sea Cooperation.</w:t>
      </w:r>
      <w:bookmarkStart w:id="0" w:name="_GoBack"/>
      <w:bookmarkEnd w:id="0"/>
    </w:p>
    <w:p w:rsidR="00615200" w:rsidRDefault="00615200" w:rsidP="00884A64">
      <w:pPr>
        <w:spacing w:after="120" w:line="276" w:lineRule="auto"/>
        <w:rPr>
          <w:sz w:val="22"/>
          <w:szCs w:val="22"/>
        </w:rPr>
      </w:pPr>
    </w:p>
    <w:sectPr w:rsidR="00615200" w:rsidSect="001C042F">
      <w:headerReference w:type="default" r:id="rId9"/>
      <w:foot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35C" w:rsidRDefault="0004435C">
      <w:r>
        <w:separator/>
      </w:r>
    </w:p>
  </w:endnote>
  <w:endnote w:type="continuationSeparator" w:id="0">
    <w:p w:rsidR="0004435C" w:rsidRDefault="000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4A0AAD">
      <w:rPr>
        <w:noProof/>
        <w:sz w:val="20"/>
        <w:szCs w:val="20"/>
      </w:rPr>
      <w:t>3</w:t>
    </w:r>
    <w:r w:rsidRPr="00884A64">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35C" w:rsidRDefault="0004435C">
      <w:r>
        <w:separator/>
      </w:r>
    </w:p>
  </w:footnote>
  <w:footnote w:type="continuationSeparator" w:id="0">
    <w:p w:rsidR="0004435C" w:rsidRDefault="0004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2F" w:rsidRPr="00884A64" w:rsidRDefault="008E5954" w:rsidP="007048EE">
    <w:pPr>
      <w:pStyle w:val="Kopfzeile"/>
      <w:jc w:val="both"/>
    </w:pPr>
    <w:r w:rsidRPr="00884A64">
      <w:rPr>
        <w:sz w:val="20"/>
        <w:szCs w:val="20"/>
      </w:rPr>
      <w:t>WSB</w:t>
    </w:r>
    <w:r w:rsidR="001C042F" w:rsidRPr="00884A64">
      <w:rPr>
        <w:sz w:val="20"/>
        <w:szCs w:val="20"/>
      </w:rPr>
      <w:t xml:space="preserve"> </w:t>
    </w:r>
    <w:r w:rsidR="00CB0F49" w:rsidRPr="00884A64">
      <w:rPr>
        <w:sz w:val="20"/>
        <w:szCs w:val="20"/>
      </w:rPr>
      <w:t>2</w:t>
    </w:r>
    <w:r w:rsidR="007048EE">
      <w:rPr>
        <w:sz w:val="20"/>
        <w:szCs w:val="20"/>
      </w:rPr>
      <w:t>7</w:t>
    </w:r>
    <w:r w:rsidR="007D5514" w:rsidRPr="00884A64">
      <w:rPr>
        <w:sz w:val="20"/>
        <w:szCs w:val="20"/>
      </w:rPr>
      <w:t>/</w:t>
    </w:r>
    <w:r w:rsidR="007048EE">
      <w:rPr>
        <w:sz w:val="20"/>
        <w:szCs w:val="20"/>
      </w:rPr>
      <w:t>5.1</w:t>
    </w:r>
    <w:r w:rsidR="001D104A">
      <w:rPr>
        <w:sz w:val="20"/>
        <w:szCs w:val="20"/>
      </w:rPr>
      <w:t>1</w:t>
    </w:r>
    <w:r w:rsidR="007D5514" w:rsidRPr="00884A64">
      <w:rPr>
        <w:sz w:val="20"/>
        <w:szCs w:val="20"/>
      </w:rPr>
      <w:t>/</w:t>
    </w:r>
    <w:r w:rsidR="001D104A">
      <w:rPr>
        <w:sz w:val="20"/>
        <w:szCs w:val="20"/>
      </w:rPr>
      <w:t>1 Call for Action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A9E2854"/>
    <w:multiLevelType w:val="hybridMultilevel"/>
    <w:tmpl w:val="AC90B5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5"/>
  </w:num>
  <w:num w:numId="6">
    <w:abstractNumId w:val="0"/>
  </w:num>
  <w:num w:numId="7">
    <w:abstractNumId w:val="13"/>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8"/>
  </w:num>
  <w:num w:numId="19">
    <w:abstractNumId w:val="12"/>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32A4"/>
    <w:rsid w:val="000135D9"/>
    <w:rsid w:val="00014ADE"/>
    <w:rsid w:val="0002233C"/>
    <w:rsid w:val="0004435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60B1C"/>
    <w:rsid w:val="00173FD6"/>
    <w:rsid w:val="0017526A"/>
    <w:rsid w:val="001760DD"/>
    <w:rsid w:val="00193121"/>
    <w:rsid w:val="001B785E"/>
    <w:rsid w:val="001C042F"/>
    <w:rsid w:val="001D104A"/>
    <w:rsid w:val="002054A8"/>
    <w:rsid w:val="002108D8"/>
    <w:rsid w:val="00212819"/>
    <w:rsid w:val="002160AA"/>
    <w:rsid w:val="00227E91"/>
    <w:rsid w:val="00241433"/>
    <w:rsid w:val="00242A26"/>
    <w:rsid w:val="00252FED"/>
    <w:rsid w:val="00254860"/>
    <w:rsid w:val="002A6524"/>
    <w:rsid w:val="002C3B3E"/>
    <w:rsid w:val="002D7C58"/>
    <w:rsid w:val="002D7DF5"/>
    <w:rsid w:val="002F05CF"/>
    <w:rsid w:val="003148C6"/>
    <w:rsid w:val="0032417C"/>
    <w:rsid w:val="00333535"/>
    <w:rsid w:val="00336615"/>
    <w:rsid w:val="00340678"/>
    <w:rsid w:val="00342BBA"/>
    <w:rsid w:val="0035006B"/>
    <w:rsid w:val="00357EE8"/>
    <w:rsid w:val="00367F1A"/>
    <w:rsid w:val="00375097"/>
    <w:rsid w:val="003951D7"/>
    <w:rsid w:val="003A078C"/>
    <w:rsid w:val="003A4E03"/>
    <w:rsid w:val="003A6B2B"/>
    <w:rsid w:val="003B2160"/>
    <w:rsid w:val="003B2804"/>
    <w:rsid w:val="003C28D1"/>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A0AAD"/>
    <w:rsid w:val="004B18F8"/>
    <w:rsid w:val="004F7255"/>
    <w:rsid w:val="004F736E"/>
    <w:rsid w:val="0052327A"/>
    <w:rsid w:val="00523334"/>
    <w:rsid w:val="0053275D"/>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8EE"/>
    <w:rsid w:val="00704B5F"/>
    <w:rsid w:val="00705336"/>
    <w:rsid w:val="007240E0"/>
    <w:rsid w:val="00724801"/>
    <w:rsid w:val="0072516E"/>
    <w:rsid w:val="00754D75"/>
    <w:rsid w:val="007563CD"/>
    <w:rsid w:val="00761403"/>
    <w:rsid w:val="007620E9"/>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040D8"/>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52D55"/>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C4546"/>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E63BD"/>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96490D"/>
  <w15:docId w15:val="{007994CE-2756-4740-85A2-2B7E97C6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apple-converted-space">
    <w:name w:val="apple-converted-space"/>
    <w:basedOn w:val="Absatz-Standardschriftart"/>
    <w:rsid w:val="001D1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53184726">
      <w:bodyDiv w:val="1"/>
      <w:marLeft w:val="0"/>
      <w:marRight w:val="0"/>
      <w:marTop w:val="0"/>
      <w:marBottom w:val="0"/>
      <w:divBdr>
        <w:top w:val="none" w:sz="0" w:space="0" w:color="auto"/>
        <w:left w:val="none" w:sz="0" w:space="0" w:color="auto"/>
        <w:bottom w:val="none" w:sz="0" w:space="0" w:color="auto"/>
        <w:right w:val="none" w:sz="0" w:space="0" w:color="auto"/>
      </w:divBdr>
    </w:div>
    <w:div w:id="1472401550">
      <w:bodyDiv w:val="1"/>
      <w:marLeft w:val="0"/>
      <w:marRight w:val="0"/>
      <w:marTop w:val="0"/>
      <w:marBottom w:val="0"/>
      <w:divBdr>
        <w:top w:val="none" w:sz="0" w:space="0" w:color="auto"/>
        <w:left w:val="none" w:sz="0" w:space="0" w:color="auto"/>
        <w:bottom w:val="none" w:sz="0" w:space="0" w:color="auto"/>
        <w:right w:val="none" w:sz="0" w:space="0" w:color="auto"/>
      </w:divBdr>
    </w:div>
    <w:div w:id="1587498337">
      <w:bodyDiv w:val="1"/>
      <w:marLeft w:val="0"/>
      <w:marRight w:val="0"/>
      <w:marTop w:val="0"/>
      <w:marBottom w:val="0"/>
      <w:divBdr>
        <w:top w:val="none" w:sz="0" w:space="0" w:color="auto"/>
        <w:left w:val="none" w:sz="0" w:space="0" w:color="auto"/>
        <w:bottom w:val="none" w:sz="0" w:space="0" w:color="auto"/>
        <w:right w:val="none" w:sz="0" w:space="0" w:color="auto"/>
      </w:divBdr>
    </w:div>
    <w:div w:id="1795975034">
      <w:bodyDiv w:val="1"/>
      <w:marLeft w:val="0"/>
      <w:marRight w:val="0"/>
      <w:marTop w:val="0"/>
      <w:marBottom w:val="0"/>
      <w:divBdr>
        <w:top w:val="none" w:sz="0" w:space="0" w:color="auto"/>
        <w:left w:val="none" w:sz="0" w:space="0" w:color="auto"/>
        <w:bottom w:val="none" w:sz="0" w:space="0" w:color="auto"/>
        <w:right w:val="none" w:sz="0" w:space="0" w:color="auto"/>
      </w:divBdr>
    </w:div>
    <w:div w:id="181044270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7786A-E354-44F0-B1BF-C24E6C509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498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2013-09-25T14:30:00Z</cp:lastPrinted>
  <dcterms:created xsi:type="dcterms:W3CDTF">2018-10-23T10:17:00Z</dcterms:created>
  <dcterms:modified xsi:type="dcterms:W3CDTF">2018-11-06T13:05:00Z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