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7</w:t>
                            </w:r>
                            <w:r w:rsidRPr="00900B48">
                              <w:rPr>
                                <w:rFonts w:ascii="Arial" w:hAnsi="Arial" w:cs="Arial"/>
                                <w:b/>
                                <w:bCs/>
                                <w:szCs w:val="32"/>
                                <w:lang w:val="en-GB"/>
                              </w:rPr>
                              <w:t xml:space="preserve"> </w:t>
                            </w:r>
                          </w:p>
                          <w:p w:rsidR="007048EE" w:rsidRPr="00C1238D" w:rsidRDefault="007048EE" w:rsidP="007048EE">
                            <w:pPr>
                              <w:jc w:val="center"/>
                              <w:rPr>
                                <w:bCs/>
                                <w:sz w:val="22"/>
                              </w:rPr>
                            </w:pPr>
                            <w:r w:rsidRPr="00C1238D">
                              <w:rPr>
                                <w:bCs/>
                                <w:sz w:val="22"/>
                              </w:rPr>
                              <w:t>12-13 November 2018</w:t>
                            </w:r>
                          </w:p>
                          <w:p w:rsidR="007048EE" w:rsidRPr="00C1238D" w:rsidRDefault="007048EE" w:rsidP="007048EE">
                            <w:pPr>
                              <w:jc w:val="center"/>
                              <w:rPr>
                                <w:bCs/>
                                <w:sz w:val="22"/>
                              </w:rPr>
                            </w:pPr>
                            <w:r w:rsidRPr="00C1238D">
                              <w:rPr>
                                <w:bCs/>
                                <w:sz w:val="22"/>
                              </w:rPr>
                              <w:t>Copenhagen, Denmark</w:t>
                            </w:r>
                          </w:p>
                          <w:p w:rsidR="00FA36AB" w:rsidRPr="00884A64" w:rsidRDefault="00FA36AB" w:rsidP="007048EE">
                            <w:pPr>
                              <w:spacing w:after="120"/>
                              <w:jc w:val="center"/>
                              <w:rPr>
                                <w:bCs/>
                                <w:sz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7</w:t>
                      </w:r>
                      <w:r w:rsidRPr="00900B48">
                        <w:rPr>
                          <w:rFonts w:ascii="Arial" w:hAnsi="Arial" w:cs="Arial"/>
                          <w:b/>
                          <w:bCs/>
                          <w:szCs w:val="32"/>
                          <w:lang w:val="en-GB"/>
                        </w:rPr>
                        <w:t xml:space="preserve"> </w:t>
                      </w:r>
                    </w:p>
                    <w:p w:rsidR="007048EE" w:rsidRPr="00C1238D" w:rsidRDefault="007048EE" w:rsidP="007048EE">
                      <w:pPr>
                        <w:jc w:val="center"/>
                        <w:rPr>
                          <w:bCs/>
                          <w:sz w:val="22"/>
                        </w:rPr>
                      </w:pPr>
                      <w:r w:rsidRPr="00C1238D">
                        <w:rPr>
                          <w:bCs/>
                          <w:sz w:val="22"/>
                        </w:rPr>
                        <w:t>12-13 November 2018</w:t>
                      </w:r>
                    </w:p>
                    <w:p w:rsidR="007048EE" w:rsidRPr="00C1238D" w:rsidRDefault="007048EE" w:rsidP="007048EE">
                      <w:pPr>
                        <w:jc w:val="center"/>
                        <w:rPr>
                          <w:bCs/>
                          <w:sz w:val="22"/>
                        </w:rPr>
                      </w:pPr>
                      <w:r w:rsidRPr="00C1238D">
                        <w:rPr>
                          <w:bCs/>
                          <w:sz w:val="22"/>
                        </w:rPr>
                        <w:t>Copenhagen, Denmark</w:t>
                      </w:r>
                    </w:p>
                    <w:p w:rsidR="00FA36AB" w:rsidRPr="00884A64" w:rsidRDefault="00FA36AB" w:rsidP="007048EE">
                      <w:pPr>
                        <w:spacing w:after="120"/>
                        <w:jc w:val="center"/>
                        <w:rPr>
                          <w:bCs/>
                          <w:sz w:val="22"/>
                          <w:lang w:val="en-GB"/>
                        </w:rPr>
                      </w:pPr>
                    </w:p>
                  </w:txbxContent>
                </v:textbox>
              </v:shape>
            </w:pict>
          </mc:Fallback>
        </mc:AlternateContent>
      </w:r>
      <w:r w:rsidR="00C62F33" w:rsidRPr="00884A64">
        <w:rPr>
          <w:noProof/>
          <w:sz w:val="20"/>
          <w:szCs w:val="20"/>
          <w:lang w:val="de-DE" w:eastAsia="de-DE"/>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7048EE">
        <w:rPr>
          <w:b/>
          <w:sz w:val="22"/>
          <w:szCs w:val="22"/>
          <w:lang w:val="en-GB"/>
        </w:rPr>
        <w:t>5.1 World Heritage</w:t>
      </w:r>
    </w:p>
    <w:p w:rsidR="007D5514" w:rsidRPr="007048EE"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7048EE" w:rsidRPr="007048EE">
        <w:rPr>
          <w:sz w:val="22"/>
          <w:szCs w:val="22"/>
          <w:lang w:val="en-GB"/>
        </w:rPr>
        <w:t xml:space="preserve">TG-WH </w:t>
      </w:r>
      <w:r w:rsidR="007048EE">
        <w:rPr>
          <w:sz w:val="22"/>
          <w:szCs w:val="22"/>
          <w:lang w:val="en-GB"/>
        </w:rPr>
        <w:t>Progress R</w:t>
      </w:r>
      <w:r w:rsidR="007048EE" w:rsidRPr="007048EE">
        <w:rPr>
          <w:sz w:val="22"/>
          <w:szCs w:val="22"/>
          <w:lang w:val="en-GB"/>
        </w:rPr>
        <w:t>eport</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884A64">
        <w:rPr>
          <w:sz w:val="22"/>
          <w:szCs w:val="22"/>
          <w:lang w:val="en-GB"/>
        </w:rPr>
        <w:t>WSB 2</w:t>
      </w:r>
      <w:r w:rsidR="007048EE">
        <w:rPr>
          <w:sz w:val="22"/>
          <w:szCs w:val="22"/>
          <w:lang w:val="en-GB"/>
        </w:rPr>
        <w:t>7/5.1</w:t>
      </w:r>
      <w:r w:rsidR="004F736E">
        <w:rPr>
          <w:sz w:val="22"/>
          <w:szCs w:val="22"/>
          <w:lang w:val="en-GB"/>
        </w:rPr>
        <w:t>/2</w:t>
      </w:r>
    </w:p>
    <w:p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7048EE">
        <w:rPr>
          <w:sz w:val="22"/>
          <w:szCs w:val="22"/>
          <w:lang w:val="en-GB"/>
        </w:rPr>
        <w:t>2</w:t>
      </w:r>
      <w:r w:rsidR="004A0AAD">
        <w:rPr>
          <w:sz w:val="22"/>
          <w:szCs w:val="22"/>
          <w:lang w:val="en-GB"/>
        </w:rPr>
        <w:t>3</w:t>
      </w:r>
      <w:bookmarkStart w:id="0" w:name="_GoBack"/>
      <w:bookmarkEnd w:id="0"/>
      <w:r w:rsidR="00E05DFD" w:rsidRPr="00884A64">
        <w:rPr>
          <w:sz w:val="22"/>
          <w:szCs w:val="22"/>
          <w:lang w:val="en-GB"/>
        </w:rPr>
        <w:t xml:space="preserve"> </w:t>
      </w:r>
      <w:r w:rsidR="007048EE">
        <w:rPr>
          <w:sz w:val="22"/>
          <w:szCs w:val="22"/>
          <w:lang w:val="en-GB"/>
        </w:rPr>
        <w:t>October</w:t>
      </w:r>
      <w:r w:rsidR="00E05DFD" w:rsidRPr="00884A64">
        <w:rPr>
          <w:sz w:val="22"/>
          <w:szCs w:val="22"/>
          <w:lang w:val="en-GB"/>
        </w:rPr>
        <w:t xml:space="preserve"> </w:t>
      </w:r>
      <w:r w:rsidR="007048EE">
        <w:rPr>
          <w:sz w:val="22"/>
          <w:szCs w:val="22"/>
          <w:lang w:val="en-GB"/>
        </w:rPr>
        <w:t>2018</w:t>
      </w:r>
    </w:p>
    <w:p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3C28D1">
        <w:rPr>
          <w:b/>
          <w:sz w:val="22"/>
          <w:szCs w:val="22"/>
          <w:lang w:val="en-GB"/>
        </w:rPr>
        <w:tab/>
      </w:r>
      <w:r w:rsidR="003C28D1">
        <w:rPr>
          <w:b/>
          <w:sz w:val="22"/>
          <w:szCs w:val="22"/>
          <w:lang w:val="en-GB"/>
        </w:rPr>
        <w:tab/>
        <w:t>TG-WH Chair</w:t>
      </w:r>
    </w:p>
    <w:p w:rsidR="00884A64" w:rsidRDefault="00884A64" w:rsidP="00884A64">
      <w:pPr>
        <w:pStyle w:val="Kopfzeile"/>
        <w:tabs>
          <w:tab w:val="clear" w:pos="4703"/>
          <w:tab w:val="clear" w:pos="9406"/>
        </w:tabs>
        <w:spacing w:after="120" w:line="276" w:lineRule="auto"/>
        <w:rPr>
          <w:sz w:val="22"/>
          <w:szCs w:val="22"/>
          <w:lang w:val="en-GB" w:eastAsia="de-DE"/>
        </w:rPr>
      </w:pPr>
    </w:p>
    <w:p w:rsidR="000132A4" w:rsidRDefault="000132A4" w:rsidP="00884A64">
      <w:pPr>
        <w:pStyle w:val="Kopfzeile"/>
        <w:tabs>
          <w:tab w:val="clear" w:pos="4703"/>
          <w:tab w:val="clear" w:pos="9406"/>
        </w:tabs>
        <w:spacing w:after="120" w:line="276" w:lineRule="auto"/>
        <w:rPr>
          <w:sz w:val="22"/>
          <w:szCs w:val="22"/>
          <w:lang w:val="en-GB" w:eastAsia="de-DE"/>
        </w:rPr>
      </w:pPr>
    </w:p>
    <w:p w:rsidR="00075502" w:rsidRDefault="007048EE" w:rsidP="00884A64">
      <w:pPr>
        <w:pStyle w:val="Kopfzeile"/>
        <w:tabs>
          <w:tab w:val="clear" w:pos="4703"/>
          <w:tab w:val="clear" w:pos="9406"/>
        </w:tabs>
        <w:spacing w:after="120" w:line="276" w:lineRule="auto"/>
        <w:rPr>
          <w:sz w:val="22"/>
          <w:szCs w:val="22"/>
          <w:lang w:val="en-GB" w:eastAsia="de-DE"/>
        </w:rPr>
      </w:pPr>
      <w:r>
        <w:rPr>
          <w:sz w:val="22"/>
          <w:szCs w:val="22"/>
          <w:lang w:val="en-GB" w:eastAsia="de-DE"/>
        </w:rPr>
        <w:t>Attache</w:t>
      </w:r>
      <w:r w:rsidR="000132A4">
        <w:rPr>
          <w:sz w:val="22"/>
          <w:szCs w:val="22"/>
          <w:lang w:val="en-GB" w:eastAsia="de-DE"/>
        </w:rPr>
        <w:t>d</w:t>
      </w:r>
      <w:r>
        <w:rPr>
          <w:sz w:val="22"/>
          <w:szCs w:val="22"/>
          <w:lang w:val="en-GB" w:eastAsia="de-DE"/>
        </w:rPr>
        <w:t xml:space="preserve"> is the progress report from the TG-WH</w:t>
      </w:r>
      <w:r w:rsidR="004F736E">
        <w:rPr>
          <w:sz w:val="22"/>
          <w:szCs w:val="22"/>
          <w:lang w:val="en-GB" w:eastAsia="de-DE"/>
        </w:rPr>
        <w:t xml:space="preserve"> 25 meeting. </w:t>
      </w:r>
    </w:p>
    <w:p w:rsidR="007048EE" w:rsidRPr="00884A64" w:rsidRDefault="007048EE" w:rsidP="00884A64">
      <w:pPr>
        <w:pStyle w:val="Kopfzeile"/>
        <w:tabs>
          <w:tab w:val="clear" w:pos="4703"/>
          <w:tab w:val="clear" w:pos="9406"/>
        </w:tabs>
        <w:spacing w:after="120" w:line="276" w:lineRule="auto"/>
        <w:rPr>
          <w:sz w:val="22"/>
          <w:szCs w:val="22"/>
          <w:lang w:val="en-GB" w:eastAsia="de-DE"/>
        </w:rPr>
      </w:pPr>
    </w:p>
    <w:p w:rsidR="003D6D11" w:rsidRPr="00884A64" w:rsidRDefault="003D6D11" w:rsidP="00884A64">
      <w:pPr>
        <w:spacing w:after="120" w:line="276" w:lineRule="auto"/>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meeting is </w:t>
      </w:r>
      <w:r w:rsidR="007048EE">
        <w:rPr>
          <w:sz w:val="22"/>
          <w:szCs w:val="22"/>
          <w:lang w:val="en-GB"/>
        </w:rPr>
        <w:t>invited to note the information</w:t>
      </w:r>
    </w:p>
    <w:p w:rsidR="00B61315" w:rsidRPr="00B61315" w:rsidRDefault="00B61315" w:rsidP="00884A64">
      <w:pPr>
        <w:spacing w:after="120" w:line="276" w:lineRule="auto"/>
        <w:rPr>
          <w:rFonts w:ascii="Arial" w:hAnsi="Arial" w:cs="Arial"/>
        </w:rPr>
      </w:pPr>
    </w:p>
    <w:p w:rsidR="00B61315" w:rsidRDefault="00B61315" w:rsidP="00884A64">
      <w:pPr>
        <w:spacing w:after="120" w:line="276" w:lineRule="auto"/>
        <w:rPr>
          <w:rFonts w:ascii="Arial" w:hAnsi="Arial" w:cs="Arial"/>
        </w:rPr>
      </w:pPr>
    </w:p>
    <w:p w:rsidR="00B61315" w:rsidRDefault="00B61315" w:rsidP="00884A64">
      <w:pPr>
        <w:tabs>
          <w:tab w:val="left" w:pos="5224"/>
        </w:tabs>
        <w:spacing w:after="120" w:line="276" w:lineRule="auto"/>
        <w:rPr>
          <w:rFonts w:ascii="Arial" w:hAnsi="Arial" w:cs="Arial"/>
        </w:rPr>
      </w:pPr>
    </w:p>
    <w:p w:rsidR="00615200" w:rsidRDefault="001C042F" w:rsidP="00884A64">
      <w:pPr>
        <w:spacing w:after="120" w:line="276" w:lineRule="auto"/>
        <w:rPr>
          <w:sz w:val="22"/>
          <w:szCs w:val="22"/>
        </w:rPr>
      </w:pPr>
      <w:r w:rsidRPr="00B61315">
        <w:rPr>
          <w:rFonts w:ascii="Arial" w:hAnsi="Arial" w:cs="Arial"/>
        </w:rPr>
        <w:br w:type="page"/>
      </w:r>
    </w:p>
    <w:p w:rsidR="00884A64" w:rsidRDefault="007048EE" w:rsidP="00884A64">
      <w:pPr>
        <w:spacing w:after="120" w:line="276" w:lineRule="auto"/>
        <w:rPr>
          <w:rFonts w:ascii="Arial" w:hAnsi="Arial" w:cs="Arial"/>
          <w:sz w:val="28"/>
          <w:szCs w:val="28"/>
        </w:rPr>
      </w:pPr>
      <w:r>
        <w:rPr>
          <w:rFonts w:ascii="Arial" w:hAnsi="Arial" w:cs="Arial"/>
          <w:sz w:val="28"/>
          <w:szCs w:val="28"/>
        </w:rPr>
        <w:lastRenderedPageBreak/>
        <w:t xml:space="preserve">Progress Report TG-WH </w:t>
      </w:r>
    </w:p>
    <w:p w:rsidR="000132A4" w:rsidRDefault="000132A4" w:rsidP="000132A4">
      <w:pPr>
        <w:spacing w:after="120" w:line="276" w:lineRule="auto"/>
        <w:rPr>
          <w:sz w:val="22"/>
          <w:szCs w:val="22"/>
        </w:rPr>
      </w:pPr>
    </w:p>
    <w:p w:rsidR="000132A4" w:rsidRDefault="000132A4" w:rsidP="000132A4">
      <w:pPr>
        <w:spacing w:after="120" w:line="276" w:lineRule="auto"/>
        <w:rPr>
          <w:sz w:val="22"/>
          <w:szCs w:val="22"/>
        </w:rPr>
      </w:pPr>
      <w:r>
        <w:rPr>
          <w:sz w:val="22"/>
          <w:szCs w:val="22"/>
        </w:rPr>
        <w:t xml:space="preserve">The TG-WH met in Bremen on 5 September 2018 and discussed the </w:t>
      </w:r>
      <w:r w:rsidR="00173FD6">
        <w:rPr>
          <w:sz w:val="22"/>
          <w:szCs w:val="22"/>
        </w:rPr>
        <w:t>following items:</w:t>
      </w:r>
    </w:p>
    <w:p w:rsidR="000132A4" w:rsidRPr="00884A64" w:rsidRDefault="000132A4" w:rsidP="000132A4">
      <w:pPr>
        <w:spacing w:after="120" w:line="276" w:lineRule="auto"/>
        <w:rPr>
          <w:sz w:val="22"/>
          <w:szCs w:val="22"/>
        </w:rPr>
      </w:pPr>
    </w:p>
    <w:p w:rsidR="00884A64" w:rsidRPr="000132A4" w:rsidRDefault="000132A4" w:rsidP="000132A4">
      <w:pPr>
        <w:spacing w:after="120"/>
        <w:rPr>
          <w:rFonts w:ascii="Arial" w:hAnsi="Arial" w:cs="Arial"/>
          <w:b/>
          <w:szCs w:val="28"/>
        </w:rPr>
      </w:pPr>
      <w:r>
        <w:rPr>
          <w:rFonts w:ascii="Arial" w:hAnsi="Arial" w:cs="Arial"/>
          <w:b/>
          <w:szCs w:val="28"/>
        </w:rPr>
        <w:t xml:space="preserve">1. </w:t>
      </w:r>
      <w:r w:rsidRPr="000132A4">
        <w:rPr>
          <w:rFonts w:ascii="Arial" w:hAnsi="Arial" w:cs="Arial"/>
          <w:b/>
          <w:szCs w:val="28"/>
        </w:rPr>
        <w:t>TWSC Review Process</w:t>
      </w:r>
    </w:p>
    <w:p w:rsidR="00884A64" w:rsidRDefault="000132A4" w:rsidP="00884A64">
      <w:pPr>
        <w:spacing w:after="120" w:line="276" w:lineRule="auto"/>
        <w:rPr>
          <w:sz w:val="22"/>
          <w:szCs w:val="22"/>
        </w:rPr>
      </w:pPr>
      <w:r>
        <w:rPr>
          <w:sz w:val="22"/>
          <w:szCs w:val="22"/>
        </w:rPr>
        <w:t xml:space="preserve">As requested by WSB, TG-WH 25 prepared the draft summary of the questionnaire including proposed draft ToR </w:t>
      </w:r>
      <w:r w:rsidR="00173FD6">
        <w:rPr>
          <w:sz w:val="22"/>
          <w:szCs w:val="22"/>
        </w:rPr>
        <w:t xml:space="preserve">and the updated WH Strategy Roadmap </w:t>
      </w:r>
      <w:r>
        <w:rPr>
          <w:sz w:val="22"/>
          <w:szCs w:val="22"/>
        </w:rPr>
        <w:t>which were submitted to the WSB workshop on 17</w:t>
      </w:r>
      <w:r>
        <w:rPr>
          <w:sz w:val="22"/>
          <w:szCs w:val="22"/>
          <w:vertAlign w:val="superscript"/>
        </w:rPr>
        <w:t xml:space="preserve"> </w:t>
      </w:r>
      <w:r>
        <w:rPr>
          <w:sz w:val="22"/>
          <w:szCs w:val="22"/>
        </w:rPr>
        <w:t>October 2018 for further consideration.</w:t>
      </w:r>
    </w:p>
    <w:p w:rsidR="000132A4" w:rsidRDefault="000132A4" w:rsidP="00884A64">
      <w:pPr>
        <w:spacing w:after="120" w:line="276" w:lineRule="auto"/>
        <w:rPr>
          <w:sz w:val="22"/>
          <w:szCs w:val="22"/>
        </w:rPr>
      </w:pPr>
    </w:p>
    <w:p w:rsidR="000132A4" w:rsidRPr="000132A4" w:rsidRDefault="000132A4" w:rsidP="000132A4">
      <w:pPr>
        <w:spacing w:after="120"/>
        <w:rPr>
          <w:rFonts w:ascii="Arial" w:hAnsi="Arial" w:cs="Arial"/>
          <w:b/>
          <w:szCs w:val="28"/>
        </w:rPr>
      </w:pPr>
      <w:r>
        <w:rPr>
          <w:rFonts w:ascii="Arial" w:hAnsi="Arial" w:cs="Arial"/>
          <w:b/>
          <w:szCs w:val="28"/>
        </w:rPr>
        <w:t>2. State of Conservation requests</w:t>
      </w:r>
    </w:p>
    <w:p w:rsidR="000132A4" w:rsidRPr="000132A4" w:rsidRDefault="000132A4" w:rsidP="000132A4">
      <w:pPr>
        <w:spacing w:after="120" w:line="276" w:lineRule="auto"/>
        <w:rPr>
          <w:sz w:val="22"/>
          <w:szCs w:val="22"/>
        </w:rPr>
      </w:pPr>
      <w:r w:rsidRPr="000132A4">
        <w:rPr>
          <w:sz w:val="22"/>
          <w:szCs w:val="22"/>
        </w:rPr>
        <w:t xml:space="preserve">The World Heritage Centre (WHC) submitted two requests on the State of conservation of the Wadden Sea </w:t>
      </w:r>
      <w:r w:rsidR="00A040D8">
        <w:rPr>
          <w:sz w:val="22"/>
          <w:szCs w:val="22"/>
        </w:rPr>
        <w:t xml:space="preserve">to the State Party of Denmark </w:t>
      </w:r>
      <w:r w:rsidRPr="000132A4">
        <w:rPr>
          <w:sz w:val="22"/>
          <w:szCs w:val="22"/>
        </w:rPr>
        <w:t>regarding 1) Esbjerg harbour development plans and 2) population status of the houting.</w:t>
      </w:r>
    </w:p>
    <w:p w:rsidR="000132A4" w:rsidRPr="000132A4" w:rsidRDefault="000132A4" w:rsidP="000132A4">
      <w:pPr>
        <w:spacing w:after="120" w:line="276" w:lineRule="auto"/>
        <w:rPr>
          <w:sz w:val="22"/>
          <w:szCs w:val="22"/>
        </w:rPr>
      </w:pPr>
      <w:r w:rsidRPr="000132A4">
        <w:rPr>
          <w:sz w:val="22"/>
          <w:szCs w:val="22"/>
        </w:rPr>
        <w:t xml:space="preserve">Regarding the planning for the extension of Esbjerg harbour, Denmark informed the </w:t>
      </w:r>
      <w:r w:rsidR="00173FD6">
        <w:rPr>
          <w:sz w:val="22"/>
          <w:szCs w:val="22"/>
        </w:rPr>
        <w:t>TG-WH</w:t>
      </w:r>
      <w:r w:rsidRPr="000132A4">
        <w:rPr>
          <w:sz w:val="22"/>
          <w:szCs w:val="22"/>
        </w:rPr>
        <w:t xml:space="preserve"> that the scoping was concluded, an EIA is in preparation and that IUCN will be involved accordingly. The draft answer by Denmark on the WHC request will forwarded to TG-WH for information.</w:t>
      </w:r>
    </w:p>
    <w:p w:rsidR="000132A4" w:rsidRPr="000132A4" w:rsidRDefault="000132A4" w:rsidP="000132A4">
      <w:pPr>
        <w:spacing w:after="120" w:line="276" w:lineRule="auto"/>
        <w:rPr>
          <w:sz w:val="22"/>
          <w:szCs w:val="22"/>
        </w:rPr>
      </w:pPr>
      <w:r>
        <w:rPr>
          <w:sz w:val="22"/>
          <w:szCs w:val="22"/>
        </w:rPr>
        <w:t>R</w:t>
      </w:r>
      <w:r w:rsidRPr="000132A4">
        <w:rPr>
          <w:sz w:val="22"/>
          <w:szCs w:val="22"/>
        </w:rPr>
        <w:t>egarding the de</w:t>
      </w:r>
      <w:r>
        <w:rPr>
          <w:sz w:val="22"/>
          <w:szCs w:val="22"/>
        </w:rPr>
        <w:t xml:space="preserve">cline of the houting population, the </w:t>
      </w:r>
      <w:r w:rsidR="00173FD6">
        <w:rPr>
          <w:sz w:val="22"/>
          <w:szCs w:val="22"/>
        </w:rPr>
        <w:t xml:space="preserve">TG-WH </w:t>
      </w:r>
      <w:r>
        <w:rPr>
          <w:sz w:val="22"/>
          <w:szCs w:val="22"/>
        </w:rPr>
        <w:t xml:space="preserve">agreed to provide Denmark with </w:t>
      </w:r>
      <w:r w:rsidRPr="000132A4">
        <w:rPr>
          <w:sz w:val="22"/>
          <w:szCs w:val="22"/>
        </w:rPr>
        <w:t>relevant information about the houting from The Netherlands and Germany</w:t>
      </w:r>
      <w:r>
        <w:rPr>
          <w:sz w:val="22"/>
          <w:szCs w:val="22"/>
        </w:rPr>
        <w:t xml:space="preserve"> for inclusion in answer on the request</w:t>
      </w:r>
      <w:r w:rsidRPr="000132A4">
        <w:rPr>
          <w:sz w:val="22"/>
          <w:szCs w:val="22"/>
        </w:rPr>
        <w:t>. The draft answer by Denmark on the WHC request will forwarded to TG-WH for information.</w:t>
      </w:r>
    </w:p>
    <w:p w:rsidR="000132A4" w:rsidRPr="000132A4" w:rsidRDefault="00173FD6" w:rsidP="000132A4">
      <w:pPr>
        <w:spacing w:after="120" w:line="276" w:lineRule="auto"/>
        <w:rPr>
          <w:sz w:val="22"/>
          <w:szCs w:val="22"/>
        </w:rPr>
      </w:pPr>
      <w:r>
        <w:rPr>
          <w:sz w:val="22"/>
          <w:szCs w:val="22"/>
        </w:rPr>
        <w:t xml:space="preserve">TG-WH also took note of the </w:t>
      </w:r>
      <w:r w:rsidR="000132A4" w:rsidRPr="000132A4">
        <w:rPr>
          <w:sz w:val="22"/>
          <w:szCs w:val="22"/>
        </w:rPr>
        <w:t>amendment of the Danish Execut</w:t>
      </w:r>
      <w:r>
        <w:rPr>
          <w:sz w:val="22"/>
          <w:szCs w:val="22"/>
        </w:rPr>
        <w:t xml:space="preserve">ive Order for the Wadden Sea concerning </w:t>
      </w:r>
      <w:r w:rsidR="000132A4" w:rsidRPr="000132A4">
        <w:rPr>
          <w:sz w:val="22"/>
          <w:szCs w:val="22"/>
        </w:rPr>
        <w:t>possible impacts on the protection status</w:t>
      </w:r>
      <w:r>
        <w:rPr>
          <w:sz w:val="22"/>
          <w:szCs w:val="22"/>
        </w:rPr>
        <w:t xml:space="preserve"> of the World Heritage property. It was agreed that D</w:t>
      </w:r>
      <w:r w:rsidR="000132A4" w:rsidRPr="000132A4">
        <w:rPr>
          <w:sz w:val="22"/>
          <w:szCs w:val="22"/>
        </w:rPr>
        <w:t>enmark should provide additional information about the amendment and its relation to World Heritage.</w:t>
      </w:r>
    </w:p>
    <w:p w:rsidR="000132A4" w:rsidRPr="000132A4" w:rsidRDefault="00173FD6" w:rsidP="000132A4">
      <w:pPr>
        <w:spacing w:after="120" w:line="276" w:lineRule="auto"/>
        <w:rPr>
          <w:sz w:val="22"/>
          <w:szCs w:val="22"/>
        </w:rPr>
      </w:pPr>
      <w:r>
        <w:rPr>
          <w:sz w:val="22"/>
          <w:szCs w:val="22"/>
        </w:rPr>
        <w:t>TG-WH</w:t>
      </w:r>
      <w:r w:rsidR="000132A4" w:rsidRPr="000132A4">
        <w:rPr>
          <w:sz w:val="22"/>
          <w:szCs w:val="22"/>
        </w:rPr>
        <w:t xml:space="preserve"> also decided to inform WSB accordingly about the requests (OG § 174) and, in case any planned developments that might impact OUV or any change of the protection status, to discuss the potential need to signal it to the WHC (according to OG § 172).</w:t>
      </w:r>
    </w:p>
    <w:p w:rsidR="00173FD6" w:rsidRPr="00884A64" w:rsidRDefault="00173FD6" w:rsidP="00173FD6">
      <w:pPr>
        <w:spacing w:after="120" w:line="276" w:lineRule="auto"/>
        <w:rPr>
          <w:sz w:val="22"/>
          <w:szCs w:val="22"/>
        </w:rPr>
      </w:pPr>
    </w:p>
    <w:p w:rsidR="00173FD6" w:rsidRPr="000132A4" w:rsidRDefault="00173FD6" w:rsidP="00173FD6">
      <w:pPr>
        <w:spacing w:after="120"/>
        <w:rPr>
          <w:rFonts w:ascii="Arial" w:hAnsi="Arial" w:cs="Arial"/>
          <w:b/>
          <w:szCs w:val="28"/>
        </w:rPr>
      </w:pPr>
      <w:r>
        <w:rPr>
          <w:rFonts w:ascii="Arial" w:hAnsi="Arial" w:cs="Arial"/>
          <w:b/>
          <w:szCs w:val="28"/>
        </w:rPr>
        <w:t>3. World Heritage Strategy and Road Map</w:t>
      </w:r>
    </w:p>
    <w:p w:rsidR="00173FD6" w:rsidRDefault="00173FD6" w:rsidP="00173FD6">
      <w:pPr>
        <w:spacing w:after="120" w:line="276" w:lineRule="auto"/>
        <w:rPr>
          <w:sz w:val="22"/>
          <w:szCs w:val="22"/>
        </w:rPr>
      </w:pPr>
      <w:r>
        <w:rPr>
          <w:sz w:val="22"/>
          <w:szCs w:val="22"/>
        </w:rPr>
        <w:t xml:space="preserve">TG-WH 25 endorsed the draft agenda of the workshop on “Marine Litter in World Heritage Sites” (Norderney 14 – 16 November 2018) and suggested to also </w:t>
      </w:r>
      <w:r w:rsidR="00160B1C">
        <w:rPr>
          <w:sz w:val="22"/>
          <w:szCs w:val="22"/>
        </w:rPr>
        <w:t>invite</w:t>
      </w:r>
      <w:r>
        <w:rPr>
          <w:sz w:val="22"/>
          <w:szCs w:val="22"/>
        </w:rPr>
        <w:t xml:space="preserve"> WH marine sites </w:t>
      </w:r>
      <w:r w:rsidRPr="00173FD6">
        <w:rPr>
          <w:sz w:val="22"/>
          <w:szCs w:val="22"/>
        </w:rPr>
        <w:t xml:space="preserve">to the workshop which are potential cooperation partners for the Wadden Sea. </w:t>
      </w:r>
    </w:p>
    <w:p w:rsidR="00173FD6" w:rsidRDefault="00173FD6" w:rsidP="00173FD6">
      <w:pPr>
        <w:spacing w:after="120" w:line="276" w:lineRule="auto"/>
        <w:rPr>
          <w:sz w:val="22"/>
          <w:szCs w:val="22"/>
        </w:rPr>
      </w:pPr>
      <w:r>
        <w:rPr>
          <w:sz w:val="22"/>
          <w:szCs w:val="22"/>
        </w:rPr>
        <w:t>With regard to PROWAD LINK</w:t>
      </w:r>
      <w:r w:rsidR="00160B1C">
        <w:rPr>
          <w:sz w:val="22"/>
          <w:szCs w:val="22"/>
        </w:rPr>
        <w:t xml:space="preserve"> project</w:t>
      </w:r>
      <w:r>
        <w:rPr>
          <w:sz w:val="22"/>
          <w:szCs w:val="22"/>
        </w:rPr>
        <w:t xml:space="preserve">, TG-WH underlined </w:t>
      </w:r>
      <w:r w:rsidRPr="00173FD6">
        <w:rPr>
          <w:sz w:val="22"/>
          <w:szCs w:val="22"/>
        </w:rPr>
        <w:t>that the project needs to be closely connected the TWSC aims and objectives, and that project deliverables which will be forwarded to WSB for decision, need to be discussed by the relevant TG. The meeting did not see the necessity to establish a trilateral advisory group specifically for PROWAD Link by WSB but suggested that CWSS as the project leader should involve TG-WH accordingly in case of WH relevant topics.</w:t>
      </w:r>
    </w:p>
    <w:p w:rsidR="00173FD6" w:rsidRPr="00160B1C" w:rsidRDefault="00173FD6" w:rsidP="00173FD6">
      <w:pPr>
        <w:spacing w:after="120" w:line="276" w:lineRule="auto"/>
        <w:rPr>
          <w:szCs w:val="22"/>
        </w:rPr>
      </w:pPr>
      <w:r>
        <w:rPr>
          <w:sz w:val="22"/>
          <w:szCs w:val="22"/>
        </w:rPr>
        <w:lastRenderedPageBreak/>
        <w:t xml:space="preserve">The TG-WH also took note of comments </w:t>
      </w:r>
      <w:r w:rsidR="00160B1C">
        <w:rPr>
          <w:sz w:val="22"/>
          <w:szCs w:val="22"/>
        </w:rPr>
        <w:t xml:space="preserve">by Germany </w:t>
      </w:r>
      <w:r>
        <w:rPr>
          <w:sz w:val="22"/>
          <w:szCs w:val="22"/>
        </w:rPr>
        <w:t>on the logo application by the Dutch producer of the movie “Silence of the Tide”</w:t>
      </w:r>
      <w:r w:rsidR="00EE63BD">
        <w:rPr>
          <w:sz w:val="22"/>
          <w:szCs w:val="22"/>
        </w:rPr>
        <w:t>.</w:t>
      </w:r>
      <w:r w:rsidR="00160B1C">
        <w:rPr>
          <w:sz w:val="22"/>
          <w:szCs w:val="22"/>
        </w:rPr>
        <w:t xml:space="preserve"> It was decided </w:t>
      </w:r>
      <w:r w:rsidR="00160B1C" w:rsidRPr="00160B1C">
        <w:rPr>
          <w:szCs w:val="22"/>
        </w:rPr>
        <w:t>to inform the company that the German national park authorities are open for a meeting, to talk about their concerns and how this could be addressed in the further preparation of the film project.</w:t>
      </w:r>
    </w:p>
    <w:p w:rsidR="00160B1C" w:rsidRPr="00884A64" w:rsidRDefault="00160B1C" w:rsidP="00160B1C">
      <w:pPr>
        <w:spacing w:after="120" w:line="276" w:lineRule="auto"/>
        <w:rPr>
          <w:sz w:val="22"/>
          <w:szCs w:val="22"/>
        </w:rPr>
      </w:pPr>
    </w:p>
    <w:p w:rsidR="00160B1C" w:rsidRPr="000132A4" w:rsidRDefault="00160B1C" w:rsidP="00160B1C">
      <w:pPr>
        <w:spacing w:after="120"/>
        <w:rPr>
          <w:rFonts w:ascii="Arial" w:hAnsi="Arial" w:cs="Arial"/>
          <w:b/>
          <w:szCs w:val="28"/>
        </w:rPr>
      </w:pPr>
      <w:r>
        <w:rPr>
          <w:rFonts w:ascii="Arial" w:hAnsi="Arial" w:cs="Arial"/>
          <w:b/>
          <w:szCs w:val="28"/>
        </w:rPr>
        <w:t>4. Development Wadden Sea WH Management Plan (SIMP)</w:t>
      </w:r>
      <w:r w:rsidRPr="000132A4">
        <w:rPr>
          <w:rFonts w:ascii="Arial" w:hAnsi="Arial" w:cs="Arial"/>
          <w:b/>
          <w:szCs w:val="28"/>
        </w:rPr>
        <w:t xml:space="preserve"> </w:t>
      </w:r>
    </w:p>
    <w:p w:rsidR="00160B1C" w:rsidRPr="00160B1C" w:rsidRDefault="00160B1C" w:rsidP="00160B1C">
      <w:pPr>
        <w:spacing w:after="120" w:line="276" w:lineRule="auto"/>
        <w:rPr>
          <w:sz w:val="22"/>
          <w:szCs w:val="22"/>
        </w:rPr>
      </w:pPr>
      <w:r w:rsidRPr="00160B1C">
        <w:rPr>
          <w:sz w:val="22"/>
          <w:szCs w:val="22"/>
        </w:rPr>
        <w:t xml:space="preserve">The </w:t>
      </w:r>
      <w:r>
        <w:rPr>
          <w:sz w:val="22"/>
          <w:szCs w:val="22"/>
        </w:rPr>
        <w:t>TG-WH</w:t>
      </w:r>
      <w:r w:rsidRPr="00160B1C">
        <w:rPr>
          <w:sz w:val="22"/>
          <w:szCs w:val="22"/>
        </w:rPr>
        <w:t xml:space="preserve"> discussed expectations and first ideas towards the development and the process regarding a single integrated management plan (SIMP) for the Wadden Sea World Heritage property. The role of working groups in the SIMP process should be clearly defined, as well as the specific tasks of the new SIMP officer. The criteria for selecting priority management themes for the SIMP, as well as participation of stakeholders need to be further developed. </w:t>
      </w:r>
    </w:p>
    <w:p w:rsidR="000132A4" w:rsidRDefault="000132A4" w:rsidP="00884A64">
      <w:pPr>
        <w:spacing w:after="120" w:line="276" w:lineRule="auto"/>
        <w:rPr>
          <w:sz w:val="22"/>
          <w:szCs w:val="22"/>
        </w:rPr>
      </w:pPr>
    </w:p>
    <w:p w:rsidR="004F736E" w:rsidRPr="000132A4" w:rsidRDefault="004F736E" w:rsidP="004F736E">
      <w:pPr>
        <w:spacing w:after="120"/>
        <w:rPr>
          <w:rFonts w:ascii="Arial" w:hAnsi="Arial" w:cs="Arial"/>
          <w:b/>
          <w:szCs w:val="28"/>
        </w:rPr>
      </w:pPr>
      <w:r>
        <w:rPr>
          <w:rFonts w:ascii="Arial" w:hAnsi="Arial" w:cs="Arial"/>
          <w:b/>
          <w:szCs w:val="28"/>
        </w:rPr>
        <w:t>5. International Cooperation</w:t>
      </w:r>
    </w:p>
    <w:p w:rsidR="004F736E" w:rsidRDefault="004F736E" w:rsidP="004F736E">
      <w:pPr>
        <w:spacing w:after="120" w:line="276" w:lineRule="auto"/>
        <w:rPr>
          <w:sz w:val="22"/>
          <w:szCs w:val="22"/>
          <w:lang w:val="en-GB" w:eastAsia="de-DE"/>
        </w:rPr>
      </w:pPr>
      <w:r>
        <w:rPr>
          <w:sz w:val="22"/>
          <w:szCs w:val="22"/>
        </w:rPr>
        <w:t>As requested by WSB 22, TG-WH</w:t>
      </w:r>
      <w:r w:rsidRPr="00160B1C">
        <w:rPr>
          <w:sz w:val="22"/>
          <w:szCs w:val="22"/>
        </w:rPr>
        <w:t xml:space="preserve"> </w:t>
      </w:r>
      <w:r>
        <w:rPr>
          <w:sz w:val="22"/>
          <w:szCs w:val="22"/>
        </w:rPr>
        <w:t xml:space="preserve">prepared a document on </w:t>
      </w:r>
      <w:r>
        <w:rPr>
          <w:sz w:val="22"/>
          <w:szCs w:val="22"/>
          <w:lang w:val="en-GB" w:eastAsia="de-DE"/>
        </w:rPr>
        <w:t>future potential and added value of cooperation with other World Heritage sites with a recommendation of WH sites which could be approached as potential cooperation partner (see agenda item 5.9 International Cooperation).</w:t>
      </w:r>
    </w:p>
    <w:p w:rsidR="000132A4" w:rsidRDefault="000132A4" w:rsidP="00884A64">
      <w:pPr>
        <w:spacing w:after="120" w:line="276" w:lineRule="auto"/>
        <w:rPr>
          <w:sz w:val="22"/>
          <w:szCs w:val="22"/>
        </w:rPr>
      </w:pPr>
    </w:p>
    <w:p w:rsidR="000132A4" w:rsidRPr="00884A64" w:rsidRDefault="000132A4" w:rsidP="00884A64">
      <w:pPr>
        <w:spacing w:after="120" w:line="276" w:lineRule="auto"/>
        <w:rPr>
          <w:sz w:val="22"/>
          <w:szCs w:val="22"/>
        </w:rPr>
      </w:pPr>
    </w:p>
    <w:sectPr w:rsidR="000132A4" w:rsidRPr="00884A64" w:rsidSect="001C042F">
      <w:headerReference w:type="even" r:id="rId10"/>
      <w:headerReference w:type="default" r:id="rId11"/>
      <w:footerReference w:type="even" r:id="rId12"/>
      <w:footerReference w:type="default" r:id="rId13"/>
      <w:headerReference w:type="first" r:id="rId14"/>
      <w:footerReference w:type="first" r:id="rId15"/>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35C" w:rsidRDefault="0004435C">
      <w:r>
        <w:separator/>
      </w:r>
    </w:p>
  </w:endnote>
  <w:endnote w:type="continuationSeparator" w:id="0">
    <w:p w:rsidR="0004435C" w:rsidRDefault="000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78C" w:rsidRDefault="003A07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4A0AAD">
      <w:rPr>
        <w:noProof/>
        <w:sz w:val="20"/>
        <w:szCs w:val="20"/>
      </w:rPr>
      <w:t>3</w:t>
    </w:r>
    <w:r w:rsidRPr="00884A64">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78C" w:rsidRDefault="003A07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35C" w:rsidRDefault="0004435C">
      <w:r>
        <w:separator/>
      </w:r>
    </w:p>
  </w:footnote>
  <w:footnote w:type="continuationSeparator" w:id="0">
    <w:p w:rsidR="0004435C" w:rsidRDefault="000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78C" w:rsidRDefault="003A07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8E5954" w:rsidP="007048EE">
    <w:pPr>
      <w:pStyle w:val="Kopfzeile"/>
      <w:jc w:val="both"/>
    </w:pPr>
    <w:r w:rsidRPr="00884A64">
      <w:rPr>
        <w:sz w:val="20"/>
        <w:szCs w:val="20"/>
      </w:rPr>
      <w:t>WSB</w:t>
    </w:r>
    <w:r w:rsidR="001C042F" w:rsidRPr="00884A64">
      <w:rPr>
        <w:sz w:val="20"/>
        <w:szCs w:val="20"/>
      </w:rPr>
      <w:t xml:space="preserve"> </w:t>
    </w:r>
    <w:r w:rsidR="00CB0F49" w:rsidRPr="00884A64">
      <w:rPr>
        <w:sz w:val="20"/>
        <w:szCs w:val="20"/>
      </w:rPr>
      <w:t>2</w:t>
    </w:r>
    <w:r w:rsidR="007048EE">
      <w:rPr>
        <w:sz w:val="20"/>
        <w:szCs w:val="20"/>
      </w:rPr>
      <w:t>7</w:t>
    </w:r>
    <w:r w:rsidR="007D5514" w:rsidRPr="00884A64">
      <w:rPr>
        <w:sz w:val="20"/>
        <w:szCs w:val="20"/>
      </w:rPr>
      <w:t>/</w:t>
    </w:r>
    <w:r w:rsidR="007048EE">
      <w:rPr>
        <w:sz w:val="20"/>
        <w:szCs w:val="20"/>
      </w:rPr>
      <w:t>5.1</w:t>
    </w:r>
    <w:r w:rsidR="007D5514" w:rsidRPr="00884A64">
      <w:rPr>
        <w:sz w:val="20"/>
        <w:szCs w:val="20"/>
      </w:rPr>
      <w:t>/</w:t>
    </w:r>
    <w:r w:rsidR="007048EE">
      <w:rPr>
        <w:sz w:val="20"/>
        <w:szCs w:val="20"/>
      </w:rPr>
      <w:t>2 Progress Report TG-WH</w:t>
    </w:r>
    <w:r w:rsidR="003A078C">
      <w:rPr>
        <w:sz w:val="20"/>
        <w:szCs w:val="20"/>
      </w:rPr>
      <w:t xml:space="preserve"> (23.10.2018)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78C" w:rsidRDefault="003A07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5A9E2854"/>
    <w:multiLevelType w:val="hybridMultilevel"/>
    <w:tmpl w:val="AC90B5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5"/>
  </w:num>
  <w:num w:numId="6">
    <w:abstractNumId w:val="0"/>
  </w:num>
  <w:num w:numId="7">
    <w:abstractNumId w:val="13"/>
  </w:num>
  <w:num w:numId="8">
    <w:abstractNumId w:val="14"/>
  </w:num>
  <w:num w:numId="9">
    <w:abstractNumId w:val="7"/>
  </w:num>
  <w:num w:numId="10">
    <w:abstractNumId w:val="6"/>
  </w:num>
  <w:num w:numId="11">
    <w:abstractNumId w:val="16"/>
  </w:num>
  <w:num w:numId="12">
    <w:abstractNumId w:val="3"/>
  </w:num>
  <w:num w:numId="13">
    <w:abstractNumId w:val="18"/>
  </w:num>
  <w:num w:numId="14">
    <w:abstractNumId w:val="1"/>
  </w:num>
  <w:num w:numId="15">
    <w:abstractNumId w:val="11"/>
  </w:num>
  <w:num w:numId="16">
    <w:abstractNumId w:val="17"/>
  </w:num>
  <w:num w:numId="17">
    <w:abstractNumId w:val="2"/>
  </w:num>
  <w:num w:numId="18">
    <w:abstractNumId w:val="8"/>
  </w:num>
  <w:num w:numId="19">
    <w:abstractNumId w:val="12"/>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2A4"/>
    <w:rsid w:val="000135D9"/>
    <w:rsid w:val="00014ADE"/>
    <w:rsid w:val="0002233C"/>
    <w:rsid w:val="0004435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60B1C"/>
    <w:rsid w:val="00173FD6"/>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57EE8"/>
    <w:rsid w:val="00367F1A"/>
    <w:rsid w:val="00375097"/>
    <w:rsid w:val="003951D7"/>
    <w:rsid w:val="003A078C"/>
    <w:rsid w:val="003A4E03"/>
    <w:rsid w:val="003A6B2B"/>
    <w:rsid w:val="003B2160"/>
    <w:rsid w:val="003B2804"/>
    <w:rsid w:val="003C28D1"/>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A0AAD"/>
    <w:rsid w:val="004B18F8"/>
    <w:rsid w:val="004F7255"/>
    <w:rsid w:val="004F736E"/>
    <w:rsid w:val="0052327A"/>
    <w:rsid w:val="00523334"/>
    <w:rsid w:val="0053275D"/>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8EE"/>
    <w:rsid w:val="00704B5F"/>
    <w:rsid w:val="00705336"/>
    <w:rsid w:val="007240E0"/>
    <w:rsid w:val="00724801"/>
    <w:rsid w:val="0072516E"/>
    <w:rsid w:val="00754D75"/>
    <w:rsid w:val="007563CD"/>
    <w:rsid w:val="00761403"/>
    <w:rsid w:val="007620E9"/>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040D8"/>
    <w:rsid w:val="00A1036A"/>
    <w:rsid w:val="00A12765"/>
    <w:rsid w:val="00A13D27"/>
    <w:rsid w:val="00A20BC6"/>
    <w:rsid w:val="00A47D81"/>
    <w:rsid w:val="00A55A4E"/>
    <w:rsid w:val="00A80F47"/>
    <w:rsid w:val="00A8235D"/>
    <w:rsid w:val="00A86C28"/>
    <w:rsid w:val="00A875C8"/>
    <w:rsid w:val="00A915FB"/>
    <w:rsid w:val="00AC2926"/>
    <w:rsid w:val="00AE651C"/>
    <w:rsid w:val="00AF263A"/>
    <w:rsid w:val="00B07A4C"/>
    <w:rsid w:val="00B1013D"/>
    <w:rsid w:val="00B1024D"/>
    <w:rsid w:val="00B15106"/>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C4546"/>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E63BD"/>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153184726">
      <w:bodyDiv w:val="1"/>
      <w:marLeft w:val="0"/>
      <w:marRight w:val="0"/>
      <w:marTop w:val="0"/>
      <w:marBottom w:val="0"/>
      <w:divBdr>
        <w:top w:val="none" w:sz="0" w:space="0" w:color="auto"/>
        <w:left w:val="none" w:sz="0" w:space="0" w:color="auto"/>
        <w:bottom w:val="none" w:sz="0" w:space="0" w:color="auto"/>
        <w:right w:val="none" w:sz="0" w:space="0" w:color="auto"/>
      </w:divBdr>
    </w:div>
    <w:div w:id="1587498337">
      <w:bodyDiv w:val="1"/>
      <w:marLeft w:val="0"/>
      <w:marRight w:val="0"/>
      <w:marTop w:val="0"/>
      <w:marBottom w:val="0"/>
      <w:divBdr>
        <w:top w:val="none" w:sz="0" w:space="0" w:color="auto"/>
        <w:left w:val="none" w:sz="0" w:space="0" w:color="auto"/>
        <w:bottom w:val="none" w:sz="0" w:space="0" w:color="auto"/>
        <w:right w:val="none" w:sz="0" w:space="0" w:color="auto"/>
      </w:divBdr>
    </w:div>
    <w:div w:id="1795975034">
      <w:bodyDiv w:val="1"/>
      <w:marLeft w:val="0"/>
      <w:marRight w:val="0"/>
      <w:marTop w:val="0"/>
      <w:marBottom w:val="0"/>
      <w:divBdr>
        <w:top w:val="none" w:sz="0" w:space="0" w:color="auto"/>
        <w:left w:val="none" w:sz="0" w:space="0" w:color="auto"/>
        <w:bottom w:val="none" w:sz="0" w:space="0" w:color="auto"/>
        <w:right w:val="none" w:sz="0" w:space="0" w:color="auto"/>
      </w:divBdr>
    </w:div>
    <w:div w:id="181044270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9508D9-C746-43EF-8ECB-AB90DF1D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4</cp:revision>
  <cp:lastPrinted>2013-09-25T14:30:00Z</cp:lastPrinted>
  <dcterms:created xsi:type="dcterms:W3CDTF">2018-10-23T10:17:00Z</dcterms:created>
  <dcterms:modified xsi:type="dcterms:W3CDTF">2018-10-23T12:21:00Z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