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564383D" w14:textId="50B6D122" w:rsidR="00B83EE9" w:rsidRDefault="0082381A" w:rsidP="00B83EE9">
      <w:pPr>
        <w:spacing w:line="276" w:lineRule="auto"/>
        <w:rPr>
          <w:rFonts w:ascii="Arial" w:hAnsi="Arial" w:cs="Arial"/>
          <w:bCs/>
          <w:sz w:val="28"/>
          <w:szCs w:val="28"/>
        </w:rPr>
      </w:pPr>
      <w:r w:rsidRPr="00B83EE9">
        <w:rPr>
          <w:rFonts w:ascii="Arial" w:hAnsi="Arial" w:cs="Arial"/>
          <w:bCs/>
          <w:sz w:val="28"/>
          <w:szCs w:val="28"/>
        </w:rPr>
        <w:t>TRILATERAL MONITORING AND</w:t>
      </w:r>
      <w:r w:rsidR="00B83EE9">
        <w:rPr>
          <w:rFonts w:ascii="Arial" w:hAnsi="Arial" w:cs="Arial"/>
          <w:bCs/>
          <w:sz w:val="28"/>
          <w:szCs w:val="28"/>
        </w:rPr>
        <w:t xml:space="preserve"> </w:t>
      </w:r>
      <w:r w:rsidRPr="00B83EE9">
        <w:rPr>
          <w:rFonts w:ascii="Arial" w:hAnsi="Arial" w:cs="Arial"/>
          <w:bCs/>
          <w:sz w:val="28"/>
          <w:szCs w:val="28"/>
        </w:rPr>
        <w:t>ASSESSMENT PROGRAMME</w:t>
      </w:r>
    </w:p>
    <w:p w14:paraId="62BC5E78" w14:textId="77777777" w:rsidR="00B83EE9" w:rsidRDefault="00B83EE9" w:rsidP="00B83EE9">
      <w:pPr>
        <w:autoSpaceDE w:val="0"/>
        <w:autoSpaceDN w:val="0"/>
        <w:adjustRightInd w:val="0"/>
        <w:spacing w:after="0" w:line="276" w:lineRule="auto"/>
        <w:rPr>
          <w:rFonts w:ascii="Arial" w:hAnsi="Arial" w:cs="Arial"/>
          <w:bCs/>
          <w:sz w:val="24"/>
          <w:szCs w:val="24"/>
        </w:rPr>
      </w:pPr>
    </w:p>
    <w:p w14:paraId="7E31655E" w14:textId="3921DA31" w:rsidR="0082381A" w:rsidRPr="00B83EE9" w:rsidRDefault="0082381A" w:rsidP="00B83EE9">
      <w:pPr>
        <w:autoSpaceDE w:val="0"/>
        <w:autoSpaceDN w:val="0"/>
        <w:adjustRightInd w:val="0"/>
        <w:spacing w:after="0" w:line="276" w:lineRule="auto"/>
        <w:rPr>
          <w:rFonts w:ascii="Arial" w:hAnsi="Arial" w:cs="Arial"/>
          <w:b/>
          <w:sz w:val="24"/>
          <w:szCs w:val="24"/>
        </w:rPr>
      </w:pPr>
      <w:r w:rsidRPr="00B83EE9">
        <w:rPr>
          <w:rFonts w:ascii="Arial" w:hAnsi="Arial" w:cs="Arial"/>
          <w:b/>
          <w:sz w:val="24"/>
          <w:szCs w:val="24"/>
        </w:rPr>
        <w:t>I</w:t>
      </w:r>
      <w:r w:rsidR="00B83EE9" w:rsidRPr="00B83EE9">
        <w:rPr>
          <w:rFonts w:ascii="Arial" w:hAnsi="Arial" w:cs="Arial"/>
          <w:b/>
          <w:sz w:val="24"/>
          <w:szCs w:val="24"/>
        </w:rPr>
        <w:t>ntroduction</w:t>
      </w:r>
    </w:p>
    <w:p w14:paraId="480AC4F4" w14:textId="77777777" w:rsidR="0082381A" w:rsidRPr="00FF1BB6" w:rsidRDefault="0082381A" w:rsidP="00FF1BB6">
      <w:pPr>
        <w:pStyle w:val="StandardWeb"/>
        <w:spacing w:before="0" w:beforeAutospacing="0" w:after="0" w:afterAutospacing="0" w:line="276" w:lineRule="auto"/>
        <w:rPr>
          <w:rFonts w:ascii="Georgia" w:hAnsi="Georgia" w:cs="Arial"/>
          <w:sz w:val="20"/>
          <w:szCs w:val="20"/>
          <w:lang w:val="en-GB"/>
        </w:rPr>
      </w:pPr>
    </w:p>
    <w:p w14:paraId="26C329CF" w14:textId="6024C7E2" w:rsidR="001B0D14" w:rsidRPr="00FF1BB6" w:rsidRDefault="0082381A" w:rsidP="00FF1BB6">
      <w:pPr>
        <w:pStyle w:val="StandardWeb"/>
        <w:spacing w:before="0" w:beforeAutospacing="0" w:after="0" w:afterAutospacing="0" w:line="276" w:lineRule="auto"/>
        <w:rPr>
          <w:rFonts w:ascii="Georgia" w:hAnsi="Georgia" w:cs="Arial"/>
          <w:sz w:val="20"/>
          <w:szCs w:val="20"/>
          <w:lang w:val="en-GB"/>
        </w:rPr>
      </w:pPr>
      <w:r w:rsidRPr="00FF1BB6">
        <w:rPr>
          <w:rFonts w:ascii="Georgia" w:hAnsi="Georgia" w:cs="Arial"/>
          <w:sz w:val="20"/>
          <w:szCs w:val="20"/>
          <w:lang w:val="en-GB"/>
        </w:rPr>
        <w:t xml:space="preserve">The Trilateral Monitoring and Assessment Programme (TMAP) is one of the cornerstones of the </w:t>
      </w:r>
      <w:r w:rsidR="00E65143">
        <w:rPr>
          <w:rFonts w:ascii="Georgia" w:hAnsi="Georgia" w:cs="Arial"/>
          <w:sz w:val="20"/>
          <w:szCs w:val="20"/>
          <w:lang w:val="en-GB"/>
        </w:rPr>
        <w:t>TWSC and a prerequisite for the inscription on the World Heritage list</w:t>
      </w:r>
      <w:r w:rsidRPr="00FF1BB6">
        <w:rPr>
          <w:rFonts w:ascii="Georgia" w:hAnsi="Georgia" w:cs="Arial"/>
          <w:sz w:val="20"/>
          <w:szCs w:val="20"/>
          <w:lang w:val="en-GB"/>
        </w:rPr>
        <w:t xml:space="preserve">. The TMAP covers the entire Wadden Sea cooperation Area and spans a broad range from physiological processes over population developments to changes in landscape and morphology. The TMAP common package was implemented based on a decision at the Ministerial Conference in Stade 1997 and further developed to fulfil the needs of various national and international reporting obligations, in particular those from the EU Habitats, Birds and Water Framework Directives. </w:t>
      </w:r>
    </w:p>
    <w:p w14:paraId="13D5BC24" w14:textId="6991DE83" w:rsidR="001B0D14" w:rsidRPr="00FF1BB6" w:rsidRDefault="001B0D14" w:rsidP="00FF1BB6">
      <w:pPr>
        <w:pStyle w:val="StandardWeb"/>
        <w:spacing w:before="0" w:beforeAutospacing="0" w:after="0" w:afterAutospacing="0" w:line="276" w:lineRule="auto"/>
        <w:rPr>
          <w:rFonts w:ascii="Georgia" w:hAnsi="Georgia" w:cs="Arial"/>
          <w:sz w:val="20"/>
          <w:szCs w:val="20"/>
          <w:lang w:val="en-GB"/>
        </w:rPr>
      </w:pPr>
      <w:r w:rsidRPr="00FF1BB6">
        <w:rPr>
          <w:rFonts w:ascii="Georgia" w:hAnsi="Georgia" w:cs="Arial"/>
          <w:sz w:val="20"/>
          <w:szCs w:val="20"/>
          <w:lang w:val="en-GB"/>
        </w:rPr>
        <w:t xml:space="preserve">Due to the further development of the reporting under these directives, Germany aims to foster the adjustment of the TMAP to today’s obligations and to guarantee a future proof approach with the necessary synergies with existing monitoring programmes. Focus is also on increasing the visibility and outreach of TMAP and the advantage as a sound basis for reporting </w:t>
      </w:r>
      <w:r w:rsidR="00B83EE9">
        <w:rPr>
          <w:rFonts w:ascii="Georgia" w:hAnsi="Georgia" w:cs="Arial"/>
          <w:sz w:val="20"/>
          <w:szCs w:val="20"/>
          <w:lang w:val="en-GB"/>
        </w:rPr>
        <w:t>through</w:t>
      </w:r>
      <w:r w:rsidRPr="00FF1BB6">
        <w:rPr>
          <w:rFonts w:ascii="Georgia" w:hAnsi="Georgia" w:cs="Arial"/>
          <w:sz w:val="20"/>
          <w:szCs w:val="20"/>
          <w:lang w:val="en-GB"/>
        </w:rPr>
        <w:t xml:space="preserve"> the QSRs.</w:t>
      </w:r>
    </w:p>
    <w:p w14:paraId="37BBF0D5" w14:textId="77777777" w:rsidR="001B0D14" w:rsidRPr="00FF1BB6" w:rsidRDefault="001B0D14" w:rsidP="00FF1BB6">
      <w:pPr>
        <w:pStyle w:val="StandardWeb"/>
        <w:spacing w:before="0" w:beforeAutospacing="0" w:after="0" w:afterAutospacing="0" w:line="276" w:lineRule="auto"/>
        <w:rPr>
          <w:rFonts w:ascii="Georgia" w:hAnsi="Georgia" w:cs="Arial"/>
          <w:sz w:val="20"/>
          <w:szCs w:val="20"/>
          <w:lang w:val="en-GB"/>
        </w:rPr>
      </w:pPr>
    </w:p>
    <w:p w14:paraId="360BD3C3" w14:textId="047E1B7A" w:rsidR="0082381A" w:rsidRPr="00FF1BB6" w:rsidRDefault="0082381A" w:rsidP="00FF1BB6">
      <w:pPr>
        <w:pStyle w:val="StandardWeb"/>
        <w:spacing w:before="0" w:beforeAutospacing="0" w:after="0" w:afterAutospacing="0" w:line="276" w:lineRule="auto"/>
        <w:rPr>
          <w:rFonts w:ascii="Georgia" w:hAnsi="Georgia" w:cs="Arial"/>
          <w:sz w:val="20"/>
          <w:szCs w:val="20"/>
          <w:lang w:val="en-GB"/>
        </w:rPr>
      </w:pPr>
      <w:r w:rsidRPr="00FF1BB6">
        <w:rPr>
          <w:rFonts w:ascii="Georgia" w:hAnsi="Georgia" w:cs="Arial"/>
          <w:sz w:val="20"/>
          <w:szCs w:val="20"/>
          <w:lang w:val="en-GB"/>
        </w:rPr>
        <w:t>At the 1</w:t>
      </w:r>
      <w:r w:rsidR="00B83EE9">
        <w:rPr>
          <w:rFonts w:ascii="Georgia" w:hAnsi="Georgia" w:cs="Arial"/>
          <w:sz w:val="20"/>
          <w:szCs w:val="20"/>
          <w:lang w:val="en-GB"/>
        </w:rPr>
        <w:t>3</w:t>
      </w:r>
      <w:r w:rsidRPr="00FF1BB6">
        <w:rPr>
          <w:rFonts w:ascii="Georgia" w:hAnsi="Georgia" w:cs="Arial"/>
          <w:sz w:val="20"/>
          <w:szCs w:val="20"/>
          <w:vertAlign w:val="superscript"/>
          <w:lang w:val="en-GB"/>
        </w:rPr>
        <w:t>th</w:t>
      </w:r>
      <w:r w:rsidRPr="00FF1BB6">
        <w:rPr>
          <w:rFonts w:ascii="Georgia" w:hAnsi="Georgia" w:cs="Arial"/>
          <w:sz w:val="20"/>
          <w:szCs w:val="20"/>
          <w:lang w:val="en-GB"/>
        </w:rPr>
        <w:t xml:space="preserve"> Trilateral Governmental Conference (</w:t>
      </w:r>
      <w:r w:rsidR="009B5CB0" w:rsidRPr="00FF1BB6">
        <w:rPr>
          <w:rFonts w:ascii="Georgia" w:hAnsi="Georgia" w:cs="Arial"/>
          <w:sz w:val="20"/>
          <w:szCs w:val="20"/>
          <w:lang w:val="en-GB"/>
        </w:rPr>
        <w:t>Leeuwarden</w:t>
      </w:r>
      <w:r w:rsidRPr="00FF1BB6">
        <w:rPr>
          <w:rFonts w:ascii="Georgia" w:hAnsi="Georgia" w:cs="Arial"/>
          <w:sz w:val="20"/>
          <w:szCs w:val="20"/>
          <w:lang w:val="en-GB"/>
        </w:rPr>
        <w:t xml:space="preserve">, </w:t>
      </w:r>
      <w:r w:rsidR="007D77A0" w:rsidRPr="00FF1BB6">
        <w:rPr>
          <w:rFonts w:ascii="Georgia" w:hAnsi="Georgia" w:cs="Arial"/>
          <w:sz w:val="20"/>
          <w:szCs w:val="20"/>
          <w:lang w:val="en-GB"/>
        </w:rPr>
        <w:t>20</w:t>
      </w:r>
      <w:r w:rsidR="007D77A0">
        <w:rPr>
          <w:rFonts w:ascii="Georgia" w:hAnsi="Georgia" w:cs="Arial"/>
          <w:sz w:val="20"/>
          <w:szCs w:val="20"/>
          <w:lang w:val="en-GB"/>
        </w:rPr>
        <w:t>18</w:t>
      </w:r>
      <w:r w:rsidRPr="00FF1BB6">
        <w:rPr>
          <w:rFonts w:ascii="Georgia" w:hAnsi="Georgia" w:cs="Arial"/>
          <w:sz w:val="20"/>
          <w:szCs w:val="20"/>
          <w:lang w:val="en-GB"/>
        </w:rPr>
        <w:t>) the ministers shared the view to</w:t>
      </w:r>
    </w:p>
    <w:p w14:paraId="2B09A4C4" w14:textId="77777777" w:rsidR="00811E7A" w:rsidRDefault="009B5CB0" w:rsidP="00811E7A">
      <w:pPr>
        <w:pStyle w:val="Listenabsatz"/>
        <w:numPr>
          <w:ilvl w:val="0"/>
          <w:numId w:val="15"/>
        </w:numPr>
        <w:spacing w:before="360" w:line="276" w:lineRule="auto"/>
        <w:jc w:val="both"/>
        <w:rPr>
          <w:rFonts w:ascii="Georgia" w:hAnsi="Georgia"/>
          <w:sz w:val="20"/>
          <w:szCs w:val="20"/>
          <w:lang w:val="en-GB"/>
        </w:rPr>
      </w:pPr>
      <w:r w:rsidRPr="00811E7A">
        <w:rPr>
          <w:rFonts w:ascii="Georgia" w:hAnsi="Georgia"/>
          <w:sz w:val="20"/>
          <w:szCs w:val="20"/>
          <w:lang w:val="en-GB"/>
        </w:rPr>
        <w:t>Instruct</w:t>
      </w:r>
      <w:r w:rsidRPr="00811E7A">
        <w:rPr>
          <w:rFonts w:ascii="Georgia" w:hAnsi="Georgia"/>
          <w:b/>
          <w:bCs/>
          <w:sz w:val="20"/>
          <w:szCs w:val="20"/>
          <w:lang w:val="en-GB"/>
        </w:rPr>
        <w:t xml:space="preserve"> </w:t>
      </w:r>
      <w:r w:rsidRPr="00811E7A">
        <w:rPr>
          <w:rFonts w:ascii="Georgia" w:hAnsi="Georgia"/>
          <w:sz w:val="20"/>
          <w:szCs w:val="20"/>
          <w:lang w:val="en-GB"/>
        </w:rPr>
        <w:t xml:space="preserve">the Wadden </w:t>
      </w:r>
      <w:proofErr w:type="gramStart"/>
      <w:r w:rsidRPr="00811E7A">
        <w:rPr>
          <w:rFonts w:ascii="Georgia" w:hAnsi="Georgia"/>
          <w:sz w:val="20"/>
          <w:szCs w:val="20"/>
          <w:lang w:val="en-GB"/>
        </w:rPr>
        <w:t>Sea Board</w:t>
      </w:r>
      <w:proofErr w:type="gramEnd"/>
      <w:r w:rsidRPr="00811E7A">
        <w:rPr>
          <w:rFonts w:ascii="Georgia" w:hAnsi="Georgia"/>
          <w:sz w:val="20"/>
          <w:szCs w:val="20"/>
          <w:lang w:val="en-GB"/>
        </w:rPr>
        <w:t xml:space="preserve"> to oversee the further implementation of the Trilateral Monitoring and Assessment Programme Strategy; </w:t>
      </w:r>
    </w:p>
    <w:p w14:paraId="41CB62ED" w14:textId="1C37FDA0" w:rsidR="009B5CB0" w:rsidRPr="00811E7A" w:rsidRDefault="009B5CB0" w:rsidP="00FF1BB6">
      <w:pPr>
        <w:pStyle w:val="Listenabsatz"/>
        <w:numPr>
          <w:ilvl w:val="0"/>
          <w:numId w:val="15"/>
        </w:numPr>
        <w:spacing w:before="360" w:after="360" w:line="276" w:lineRule="auto"/>
        <w:jc w:val="both"/>
        <w:rPr>
          <w:rFonts w:ascii="Georgia" w:hAnsi="Georgia"/>
          <w:sz w:val="20"/>
          <w:szCs w:val="20"/>
          <w:lang w:val="en-GB"/>
        </w:rPr>
      </w:pPr>
      <w:r w:rsidRPr="00811E7A">
        <w:rPr>
          <w:rFonts w:ascii="Georgia" w:hAnsi="Georgia"/>
          <w:sz w:val="20"/>
          <w:szCs w:val="20"/>
          <w:lang w:val="en-GB"/>
        </w:rPr>
        <w:t>Agree</w:t>
      </w:r>
      <w:r w:rsidRPr="00811E7A">
        <w:rPr>
          <w:rFonts w:ascii="Georgia" w:hAnsi="Georgia"/>
          <w:b/>
          <w:bCs/>
          <w:i/>
          <w:iCs/>
          <w:sz w:val="20"/>
          <w:szCs w:val="20"/>
          <w:lang w:val="en-GB"/>
        </w:rPr>
        <w:t xml:space="preserve"> </w:t>
      </w:r>
      <w:r w:rsidRPr="00811E7A">
        <w:rPr>
          <w:rFonts w:ascii="Georgia" w:hAnsi="Georgia"/>
          <w:sz w:val="20"/>
          <w:szCs w:val="20"/>
          <w:lang w:val="en-GB"/>
        </w:rPr>
        <w:t xml:space="preserve">to increase the value of the Trilateral Monitoring and Assessment Programme to users and to a wider range of stakeholders, including the availability of data and presentation of information resulting from those </w:t>
      </w:r>
      <w:proofErr w:type="gramStart"/>
      <w:r w:rsidRPr="00811E7A">
        <w:rPr>
          <w:rFonts w:ascii="Georgia" w:hAnsi="Georgia"/>
          <w:sz w:val="20"/>
          <w:szCs w:val="20"/>
          <w:lang w:val="en-GB"/>
        </w:rPr>
        <w:t>data;</w:t>
      </w:r>
      <w:proofErr w:type="gramEnd"/>
    </w:p>
    <w:p w14:paraId="0641ACE3" w14:textId="6E3A522C" w:rsidR="00FF1BB6" w:rsidRPr="00FF1BB6" w:rsidRDefault="00FF1BB6" w:rsidP="00FF1BB6">
      <w:pPr>
        <w:autoSpaceDE w:val="0"/>
        <w:autoSpaceDN w:val="0"/>
        <w:adjustRightInd w:val="0"/>
        <w:spacing w:line="276" w:lineRule="auto"/>
        <w:rPr>
          <w:rFonts w:ascii="Georgia" w:hAnsi="Georgia" w:cs="Arial"/>
          <w:sz w:val="20"/>
          <w:szCs w:val="20"/>
        </w:rPr>
      </w:pPr>
      <w:r w:rsidRPr="00FF1BB6">
        <w:rPr>
          <w:rFonts w:ascii="Georgia" w:hAnsi="Georgia" w:cs="Arial"/>
          <w:sz w:val="20"/>
          <w:szCs w:val="20"/>
        </w:rPr>
        <w:t>A</w:t>
      </w:r>
      <w:r w:rsidR="009B5CB0" w:rsidRPr="00FF1BB6">
        <w:rPr>
          <w:rFonts w:ascii="Georgia" w:hAnsi="Georgia" w:cs="Arial"/>
          <w:sz w:val="20"/>
          <w:szCs w:val="20"/>
        </w:rPr>
        <w:t xml:space="preserve"> long-term common </w:t>
      </w:r>
      <w:r w:rsidR="009B5CB0" w:rsidRPr="00811E7A">
        <w:rPr>
          <w:rFonts w:ascii="Georgia" w:hAnsi="Georgia" w:cs="Arial"/>
          <w:b/>
          <w:bCs/>
          <w:sz w:val="20"/>
          <w:szCs w:val="20"/>
        </w:rPr>
        <w:t>TMAP strategy</w:t>
      </w:r>
      <w:r w:rsidR="009B5CB0" w:rsidRPr="00FF1BB6">
        <w:rPr>
          <w:rFonts w:ascii="Georgia" w:hAnsi="Georgia" w:cs="Arial"/>
          <w:sz w:val="20"/>
          <w:szCs w:val="20"/>
        </w:rPr>
        <w:t xml:space="preserve"> </w:t>
      </w:r>
      <w:r w:rsidRPr="00FF1BB6">
        <w:rPr>
          <w:rFonts w:ascii="Georgia" w:hAnsi="Georgia" w:cs="Arial"/>
          <w:sz w:val="20"/>
          <w:szCs w:val="20"/>
        </w:rPr>
        <w:t xml:space="preserve">was adopted by the ministers during the Ministerial Conference in </w:t>
      </w:r>
      <w:proofErr w:type="spellStart"/>
      <w:r w:rsidRPr="00FF1BB6">
        <w:rPr>
          <w:rFonts w:ascii="Georgia" w:hAnsi="Georgia" w:cs="Arial"/>
          <w:sz w:val="20"/>
          <w:szCs w:val="20"/>
        </w:rPr>
        <w:t>Tønder</w:t>
      </w:r>
      <w:proofErr w:type="spellEnd"/>
      <w:r w:rsidRPr="00FF1BB6">
        <w:rPr>
          <w:rFonts w:ascii="Georgia" w:hAnsi="Georgia" w:cs="Arial"/>
          <w:sz w:val="20"/>
          <w:szCs w:val="20"/>
        </w:rPr>
        <w:t xml:space="preserve"> in 2014, </w:t>
      </w:r>
      <w:r w:rsidR="009B5CB0" w:rsidRPr="00FF1BB6">
        <w:rPr>
          <w:rFonts w:ascii="Georgia" w:hAnsi="Georgia" w:cs="Arial"/>
          <w:sz w:val="20"/>
          <w:szCs w:val="20"/>
        </w:rPr>
        <w:t>as the basis for the further development of the TMAP in close connection</w:t>
      </w:r>
      <w:r w:rsidRPr="00FF1BB6">
        <w:rPr>
          <w:rFonts w:ascii="Georgia" w:hAnsi="Georgia" w:cs="Arial"/>
          <w:sz w:val="20"/>
          <w:szCs w:val="20"/>
        </w:rPr>
        <w:t xml:space="preserve"> </w:t>
      </w:r>
      <w:r w:rsidR="009B5CB0" w:rsidRPr="00FF1BB6">
        <w:rPr>
          <w:rFonts w:ascii="Georgia" w:hAnsi="Georgia" w:cs="Arial"/>
          <w:sz w:val="20"/>
          <w:szCs w:val="20"/>
        </w:rPr>
        <w:t>with the scientific community</w:t>
      </w:r>
      <w:r w:rsidR="00031F7C">
        <w:rPr>
          <w:rFonts w:ascii="Georgia" w:hAnsi="Georgia" w:cs="Arial"/>
          <w:sz w:val="20"/>
          <w:szCs w:val="20"/>
        </w:rPr>
        <w:t>,</w:t>
      </w:r>
      <w:r w:rsidR="009B5CB0" w:rsidRPr="00FF1BB6">
        <w:rPr>
          <w:rFonts w:ascii="Georgia" w:hAnsi="Georgia" w:cs="Arial"/>
          <w:sz w:val="20"/>
          <w:szCs w:val="20"/>
        </w:rPr>
        <w:t xml:space="preserve"> </w:t>
      </w:r>
      <w:r w:rsidR="00031F7C">
        <w:rPr>
          <w:rFonts w:ascii="Georgia" w:hAnsi="Georgia" w:cs="Arial"/>
          <w:sz w:val="20"/>
          <w:szCs w:val="20"/>
        </w:rPr>
        <w:t xml:space="preserve">also </w:t>
      </w:r>
      <w:r w:rsidR="009B5CB0" w:rsidRPr="00FF1BB6">
        <w:rPr>
          <w:rFonts w:ascii="Georgia" w:hAnsi="Georgia" w:cs="Arial"/>
          <w:sz w:val="20"/>
          <w:szCs w:val="20"/>
        </w:rPr>
        <w:t>with the aim to further increase its value in implementing EU Directives</w:t>
      </w:r>
      <w:r w:rsidRPr="00FF1BB6">
        <w:rPr>
          <w:rFonts w:ascii="Georgia" w:hAnsi="Georgia" w:cs="Arial"/>
          <w:sz w:val="20"/>
          <w:szCs w:val="20"/>
        </w:rPr>
        <w:t xml:space="preserve">. It should provide </w:t>
      </w:r>
      <w:r w:rsidR="009B5CB0" w:rsidRPr="00FF1BB6">
        <w:rPr>
          <w:rFonts w:ascii="Georgia" w:hAnsi="Georgia" w:cs="Arial"/>
          <w:sz w:val="20"/>
          <w:szCs w:val="20"/>
        </w:rPr>
        <w:t xml:space="preserve">information for a wider range of stakeholders through the </w:t>
      </w:r>
      <w:proofErr w:type="spellStart"/>
      <w:r w:rsidR="00031F7C">
        <w:rPr>
          <w:rFonts w:ascii="Georgia" w:hAnsi="Georgia" w:cs="Arial"/>
          <w:sz w:val="20"/>
          <w:szCs w:val="20"/>
        </w:rPr>
        <w:t>implenantation</w:t>
      </w:r>
      <w:proofErr w:type="spellEnd"/>
      <w:r w:rsidR="00031F7C">
        <w:rPr>
          <w:rFonts w:ascii="Georgia" w:hAnsi="Georgia" w:cs="Arial"/>
          <w:sz w:val="20"/>
          <w:szCs w:val="20"/>
        </w:rPr>
        <w:t xml:space="preserve"> of an</w:t>
      </w:r>
      <w:r w:rsidR="009B5CB0" w:rsidRPr="00FF1BB6">
        <w:rPr>
          <w:rFonts w:ascii="Georgia" w:hAnsi="Georgia" w:cs="Arial"/>
          <w:sz w:val="20"/>
          <w:szCs w:val="20"/>
        </w:rPr>
        <w:t xml:space="preserve"> information system </w:t>
      </w:r>
      <w:r w:rsidR="00031F7C">
        <w:rPr>
          <w:rFonts w:ascii="Georgia" w:hAnsi="Georgia" w:cs="Arial"/>
          <w:sz w:val="20"/>
          <w:szCs w:val="20"/>
        </w:rPr>
        <w:t>guaranteeing improved</w:t>
      </w:r>
      <w:r w:rsidR="009B5CB0" w:rsidRPr="00FF1BB6">
        <w:rPr>
          <w:rFonts w:ascii="Georgia" w:hAnsi="Georgia" w:cs="Arial"/>
          <w:sz w:val="20"/>
          <w:szCs w:val="20"/>
        </w:rPr>
        <w:t xml:space="preserve"> data</w:t>
      </w:r>
      <w:r w:rsidR="00031F7C">
        <w:rPr>
          <w:rFonts w:ascii="Georgia" w:hAnsi="Georgia" w:cs="Arial"/>
          <w:sz w:val="20"/>
          <w:szCs w:val="20"/>
        </w:rPr>
        <w:t xml:space="preserve"> access</w:t>
      </w:r>
      <w:r w:rsidR="009B5CB0" w:rsidRPr="00FF1BB6">
        <w:rPr>
          <w:rFonts w:ascii="Georgia" w:hAnsi="Georgia" w:cs="Arial"/>
          <w:sz w:val="20"/>
          <w:szCs w:val="20"/>
        </w:rPr>
        <w:t>.</w:t>
      </w:r>
      <w:r w:rsidRPr="00FF1BB6">
        <w:rPr>
          <w:rFonts w:ascii="Georgia" w:hAnsi="Georgia" w:cs="Arial"/>
          <w:sz w:val="20"/>
          <w:szCs w:val="20"/>
        </w:rPr>
        <w:t xml:space="preserve"> The</w:t>
      </w:r>
      <w:r w:rsidR="00031F7C">
        <w:rPr>
          <w:rFonts w:ascii="Georgia" w:hAnsi="Georgia" w:cs="Arial"/>
          <w:sz w:val="20"/>
          <w:szCs w:val="20"/>
        </w:rPr>
        <w:t xml:space="preserve"> </w:t>
      </w:r>
      <w:r w:rsidRPr="00FF1BB6">
        <w:rPr>
          <w:rFonts w:ascii="Georgia" w:hAnsi="Georgia" w:cs="Arial"/>
          <w:sz w:val="20"/>
          <w:szCs w:val="20"/>
        </w:rPr>
        <w:t xml:space="preserve">strategy included also the </w:t>
      </w:r>
      <w:r w:rsidR="0082381A" w:rsidRPr="00FF1BB6">
        <w:rPr>
          <w:rFonts w:ascii="Georgia" w:hAnsi="Georgia" w:cs="Arial"/>
          <w:sz w:val="20"/>
          <w:szCs w:val="20"/>
        </w:rPr>
        <w:t xml:space="preserve">long-term </w:t>
      </w:r>
      <w:r w:rsidR="00031F7C" w:rsidRPr="00811E7A">
        <w:rPr>
          <w:rFonts w:ascii="Georgia" w:hAnsi="Georgia" w:cs="Arial"/>
          <w:b/>
          <w:bCs/>
          <w:sz w:val="20"/>
          <w:szCs w:val="20"/>
        </w:rPr>
        <w:t xml:space="preserve">TMAP </w:t>
      </w:r>
      <w:r w:rsidR="0082381A" w:rsidRPr="00811E7A">
        <w:rPr>
          <w:rFonts w:ascii="Georgia" w:hAnsi="Georgia" w:cs="Arial"/>
          <w:b/>
          <w:bCs/>
          <w:sz w:val="20"/>
          <w:szCs w:val="20"/>
        </w:rPr>
        <w:t>vision</w:t>
      </w:r>
      <w:r w:rsidRPr="00FF1BB6">
        <w:rPr>
          <w:rFonts w:ascii="Georgia" w:hAnsi="Georgia" w:cs="Arial"/>
          <w:sz w:val="20"/>
          <w:szCs w:val="20"/>
        </w:rPr>
        <w:t>:</w:t>
      </w:r>
    </w:p>
    <w:p w14:paraId="1CD8C413" w14:textId="1AEE3185" w:rsidR="00FF1BB6" w:rsidRPr="00FF1BB6" w:rsidRDefault="00FF1BB6" w:rsidP="00FF1BB6">
      <w:pPr>
        <w:autoSpaceDE w:val="0"/>
        <w:autoSpaceDN w:val="0"/>
        <w:adjustRightInd w:val="0"/>
        <w:spacing w:line="276" w:lineRule="auto"/>
        <w:rPr>
          <w:rFonts w:ascii="Georgia" w:hAnsi="Georgia" w:cs="Arial"/>
          <w:i/>
          <w:iCs/>
          <w:sz w:val="20"/>
          <w:szCs w:val="20"/>
        </w:rPr>
      </w:pPr>
      <w:r w:rsidRPr="00FF1BB6">
        <w:rPr>
          <w:rFonts w:ascii="Georgia" w:hAnsi="Georgia" w:cs="Arial"/>
          <w:i/>
          <w:iCs/>
          <w:sz w:val="20"/>
          <w:szCs w:val="20"/>
        </w:rPr>
        <w:t>“A harmonised and effective monitoring and assessment programme, based on sound scientific evidence, that serves the needs of policy making at all levels, the commitments ensuing from relevant Directives and conventions, as well as the World Heritage status and that supports the management of the Wadden Sea as an ecological entity”</w:t>
      </w:r>
    </w:p>
    <w:p w14:paraId="6CC1AA8C" w14:textId="74F0CB9E" w:rsidR="00FF1BB6" w:rsidRPr="00FF1BB6" w:rsidRDefault="00FF1BB6" w:rsidP="00FF1BB6">
      <w:pPr>
        <w:autoSpaceDE w:val="0"/>
        <w:autoSpaceDN w:val="0"/>
        <w:adjustRightInd w:val="0"/>
        <w:spacing w:line="276" w:lineRule="auto"/>
        <w:rPr>
          <w:rFonts w:ascii="Georgia" w:hAnsi="Georgia" w:cs="Arial"/>
          <w:sz w:val="20"/>
          <w:szCs w:val="20"/>
        </w:rPr>
      </w:pPr>
      <w:r>
        <w:rPr>
          <w:rFonts w:ascii="Georgia" w:hAnsi="Georgia" w:cs="Arial"/>
          <w:sz w:val="20"/>
          <w:szCs w:val="20"/>
        </w:rPr>
        <w:t>TMAP strategy and vision had been developed as a result of a</w:t>
      </w:r>
      <w:r w:rsidRPr="00FF1BB6">
        <w:rPr>
          <w:rFonts w:ascii="Georgia" w:hAnsi="Georgia" w:cs="Arial"/>
          <w:sz w:val="20"/>
          <w:szCs w:val="20"/>
        </w:rPr>
        <w:t xml:space="preserve">n external evaluation of the Trilateral Wadden Sea Cooperation in 2007, followed by a </w:t>
      </w:r>
      <w:proofErr w:type="gramStart"/>
      <w:r w:rsidRPr="00FF1BB6">
        <w:rPr>
          <w:rFonts w:ascii="Georgia" w:hAnsi="Georgia" w:cs="Arial"/>
          <w:sz w:val="20"/>
          <w:szCs w:val="20"/>
        </w:rPr>
        <w:t>High Level</w:t>
      </w:r>
      <w:proofErr w:type="gramEnd"/>
      <w:r w:rsidRPr="00FF1BB6">
        <w:rPr>
          <w:rFonts w:ascii="Georgia" w:hAnsi="Georgia" w:cs="Arial"/>
          <w:sz w:val="20"/>
          <w:szCs w:val="20"/>
        </w:rPr>
        <w:t xml:space="preserve"> Review of EC Directives for Collaboration and Harmonisation (HLR) in early 2009</w:t>
      </w:r>
      <w:r>
        <w:rPr>
          <w:rFonts w:ascii="Georgia" w:hAnsi="Georgia" w:cs="Arial"/>
          <w:sz w:val="20"/>
          <w:szCs w:val="20"/>
        </w:rPr>
        <w:t>. A</w:t>
      </w:r>
      <w:r w:rsidR="00031F7C">
        <w:rPr>
          <w:rFonts w:ascii="Georgia" w:hAnsi="Georgia" w:cs="Arial"/>
          <w:sz w:val="20"/>
          <w:szCs w:val="20"/>
        </w:rPr>
        <w:t>s</w:t>
      </w:r>
      <w:r>
        <w:rPr>
          <w:rFonts w:ascii="Georgia" w:hAnsi="Georgia" w:cs="Arial"/>
          <w:sz w:val="20"/>
          <w:szCs w:val="20"/>
        </w:rPr>
        <w:t xml:space="preserve"> conclusions from this process, it was noted that </w:t>
      </w:r>
      <w:r w:rsidRPr="00FF1BB6">
        <w:rPr>
          <w:rFonts w:ascii="Georgia" w:hAnsi="Georgia" w:cs="Arial"/>
          <w:sz w:val="20"/>
          <w:szCs w:val="20"/>
        </w:rPr>
        <w:t xml:space="preserve">TMAP provides significant </w:t>
      </w:r>
      <w:r w:rsidR="00882BBB" w:rsidRPr="00FF1BB6">
        <w:rPr>
          <w:rFonts w:ascii="Georgia" w:hAnsi="Georgia" w:cs="Arial"/>
          <w:sz w:val="20"/>
          <w:szCs w:val="20"/>
        </w:rPr>
        <w:t xml:space="preserve">added </w:t>
      </w:r>
      <w:r w:rsidRPr="00FF1BB6">
        <w:rPr>
          <w:rFonts w:ascii="Georgia" w:hAnsi="Georgia" w:cs="Arial"/>
          <w:sz w:val="20"/>
          <w:szCs w:val="20"/>
        </w:rPr>
        <w:t xml:space="preserve">value for the Trilateral Wadden Sea Cooperation (TWSC) as it: </w:t>
      </w:r>
    </w:p>
    <w:p w14:paraId="345F95F9" w14:textId="61DB71B7" w:rsidR="00FF1BB6" w:rsidRPr="00E65143" w:rsidRDefault="00FF1BB6" w:rsidP="00E65143">
      <w:pPr>
        <w:pStyle w:val="Listenabsatz"/>
        <w:numPr>
          <w:ilvl w:val="0"/>
          <w:numId w:val="2"/>
        </w:numPr>
        <w:spacing w:line="276" w:lineRule="auto"/>
        <w:rPr>
          <w:rFonts w:ascii="Georgia" w:hAnsi="Georgia" w:cs="Arial"/>
          <w:sz w:val="20"/>
          <w:szCs w:val="20"/>
        </w:rPr>
      </w:pPr>
      <w:r w:rsidRPr="00E65143">
        <w:rPr>
          <w:rFonts w:ascii="Georgia" w:hAnsi="Georgia" w:cs="Arial"/>
          <w:sz w:val="20"/>
          <w:szCs w:val="20"/>
        </w:rPr>
        <w:t xml:space="preserve">Provides an important and scientifically sound evidence base for decision making and policy development at all levels </w:t>
      </w:r>
    </w:p>
    <w:p w14:paraId="52094E38" w14:textId="77777777" w:rsidR="00FF1BB6" w:rsidRPr="00FF1BB6" w:rsidRDefault="00FF1BB6" w:rsidP="00FF1BB6">
      <w:pPr>
        <w:numPr>
          <w:ilvl w:val="0"/>
          <w:numId w:val="2"/>
        </w:numPr>
        <w:spacing w:after="0" w:line="276" w:lineRule="auto"/>
        <w:rPr>
          <w:rFonts w:ascii="Georgia" w:hAnsi="Georgia" w:cs="Arial"/>
          <w:sz w:val="20"/>
          <w:szCs w:val="20"/>
        </w:rPr>
      </w:pPr>
      <w:r w:rsidRPr="00FF1BB6">
        <w:rPr>
          <w:rFonts w:ascii="Georgia" w:hAnsi="Georgia" w:cs="Arial"/>
          <w:sz w:val="20"/>
          <w:szCs w:val="20"/>
        </w:rPr>
        <w:t xml:space="preserve">Provides essential contextual information to support the management of the Wadden Sea as a single ecological entity </w:t>
      </w:r>
    </w:p>
    <w:p w14:paraId="4A0A8F3D" w14:textId="419A1AB2" w:rsidR="00FF1BB6" w:rsidRPr="00FF1BB6" w:rsidRDefault="00FF1BB6" w:rsidP="00FF1BB6">
      <w:pPr>
        <w:numPr>
          <w:ilvl w:val="0"/>
          <w:numId w:val="2"/>
        </w:numPr>
        <w:spacing w:after="0" w:line="276" w:lineRule="auto"/>
        <w:rPr>
          <w:rFonts w:ascii="Georgia" w:hAnsi="Georgia" w:cs="Arial"/>
          <w:sz w:val="20"/>
          <w:szCs w:val="20"/>
        </w:rPr>
      </w:pPr>
      <w:r w:rsidRPr="00FF1BB6">
        <w:rPr>
          <w:rFonts w:ascii="Georgia" w:hAnsi="Georgia" w:cs="Arial"/>
          <w:sz w:val="20"/>
          <w:szCs w:val="20"/>
        </w:rPr>
        <w:t xml:space="preserve">Supports reporting against </w:t>
      </w:r>
      <w:r w:rsidR="00882BBB">
        <w:rPr>
          <w:rFonts w:ascii="Georgia" w:hAnsi="Georgia" w:cs="Arial"/>
          <w:sz w:val="20"/>
          <w:szCs w:val="20"/>
        </w:rPr>
        <w:t xml:space="preserve">EU </w:t>
      </w:r>
      <w:r w:rsidRPr="00FF1BB6">
        <w:rPr>
          <w:rFonts w:ascii="Georgia" w:hAnsi="Georgia" w:cs="Arial"/>
          <w:sz w:val="20"/>
          <w:szCs w:val="20"/>
        </w:rPr>
        <w:t>Directives and the World Heritage status</w:t>
      </w:r>
    </w:p>
    <w:p w14:paraId="1225E949" w14:textId="77777777" w:rsidR="00FF1BB6" w:rsidRPr="00FF1BB6" w:rsidRDefault="00FF1BB6" w:rsidP="00FF1BB6">
      <w:pPr>
        <w:numPr>
          <w:ilvl w:val="0"/>
          <w:numId w:val="2"/>
        </w:numPr>
        <w:spacing w:after="0" w:line="276" w:lineRule="auto"/>
        <w:rPr>
          <w:rFonts w:ascii="Georgia" w:hAnsi="Georgia" w:cs="Arial"/>
          <w:sz w:val="20"/>
          <w:szCs w:val="20"/>
        </w:rPr>
      </w:pPr>
      <w:r w:rsidRPr="00FF1BB6">
        <w:rPr>
          <w:rFonts w:ascii="Georgia" w:hAnsi="Georgia" w:cs="Arial"/>
          <w:sz w:val="20"/>
          <w:szCs w:val="20"/>
        </w:rPr>
        <w:t xml:space="preserve">Enables integrated assessment to be undertaken which is an essential prerequisite for the application of the ecosystem approach </w:t>
      </w:r>
    </w:p>
    <w:p w14:paraId="53734BFE" w14:textId="57272B57" w:rsidR="00FF1BB6" w:rsidRDefault="00FF1BB6" w:rsidP="00FF1BB6">
      <w:pPr>
        <w:numPr>
          <w:ilvl w:val="0"/>
          <w:numId w:val="2"/>
        </w:numPr>
        <w:spacing w:after="0" w:line="276" w:lineRule="auto"/>
        <w:rPr>
          <w:rFonts w:ascii="Georgia" w:hAnsi="Georgia" w:cs="Arial"/>
          <w:sz w:val="20"/>
          <w:szCs w:val="20"/>
        </w:rPr>
      </w:pPr>
      <w:r w:rsidRPr="00FF1BB6">
        <w:rPr>
          <w:rFonts w:ascii="Georgia" w:hAnsi="Georgia" w:cs="Arial"/>
          <w:sz w:val="20"/>
          <w:szCs w:val="20"/>
        </w:rPr>
        <w:t>Provides information about progress towards trilateral targets and facilitates the discussion about the priorities for the period ahead.</w:t>
      </w:r>
    </w:p>
    <w:p w14:paraId="14B68AC4" w14:textId="77777777" w:rsidR="00C12B97" w:rsidRDefault="00C12B97" w:rsidP="00C12B97">
      <w:pPr>
        <w:spacing w:after="0" w:line="276" w:lineRule="auto"/>
        <w:rPr>
          <w:rFonts w:ascii="Georgia" w:hAnsi="Georgia" w:cs="Arial"/>
          <w:sz w:val="20"/>
          <w:szCs w:val="20"/>
        </w:rPr>
      </w:pPr>
    </w:p>
    <w:p w14:paraId="17BEE3B0" w14:textId="77777777" w:rsidR="006F2049" w:rsidRDefault="006F2049" w:rsidP="00C12B97">
      <w:pPr>
        <w:autoSpaceDE w:val="0"/>
        <w:autoSpaceDN w:val="0"/>
        <w:adjustRightInd w:val="0"/>
        <w:spacing w:line="276" w:lineRule="auto"/>
        <w:rPr>
          <w:rFonts w:ascii="Arial" w:hAnsi="Arial" w:cs="Arial"/>
          <w:b/>
          <w:bCs/>
          <w:sz w:val="24"/>
          <w:szCs w:val="24"/>
        </w:rPr>
      </w:pPr>
    </w:p>
    <w:p w14:paraId="4F793DC6" w14:textId="73D6EFEA" w:rsidR="00031F7C" w:rsidRPr="00031F7C" w:rsidRDefault="00031F7C" w:rsidP="00C12B97">
      <w:pPr>
        <w:autoSpaceDE w:val="0"/>
        <w:autoSpaceDN w:val="0"/>
        <w:adjustRightInd w:val="0"/>
        <w:spacing w:line="276" w:lineRule="auto"/>
        <w:rPr>
          <w:rFonts w:ascii="Arial" w:hAnsi="Arial" w:cs="Arial"/>
          <w:b/>
          <w:bCs/>
          <w:sz w:val="24"/>
          <w:szCs w:val="24"/>
        </w:rPr>
      </w:pPr>
      <w:r w:rsidRPr="00031F7C">
        <w:rPr>
          <w:rFonts w:ascii="Arial" w:hAnsi="Arial" w:cs="Arial"/>
          <w:b/>
          <w:bCs/>
          <w:sz w:val="24"/>
          <w:szCs w:val="24"/>
        </w:rPr>
        <w:lastRenderedPageBreak/>
        <w:t>Objectives</w:t>
      </w:r>
    </w:p>
    <w:p w14:paraId="7B9DCD21" w14:textId="6927F4D4" w:rsidR="00552D22" w:rsidRPr="00FF1BB6" w:rsidRDefault="00552D22" w:rsidP="00552D22">
      <w:pPr>
        <w:spacing w:line="276" w:lineRule="auto"/>
        <w:rPr>
          <w:rFonts w:ascii="Georgia" w:hAnsi="Georgia" w:cs="Arial"/>
          <w:sz w:val="20"/>
          <w:szCs w:val="20"/>
        </w:rPr>
      </w:pPr>
      <w:r w:rsidRPr="00FF1BB6">
        <w:rPr>
          <w:rFonts w:ascii="Georgia" w:hAnsi="Georgia" w:cs="Arial"/>
          <w:sz w:val="20"/>
          <w:szCs w:val="20"/>
        </w:rPr>
        <w:t>The general aim of trilateral Wadden Sea monitoring, assessment and research is basically t</w:t>
      </w:r>
      <w:r>
        <w:rPr>
          <w:rFonts w:ascii="Georgia" w:hAnsi="Georgia" w:cs="Arial"/>
          <w:sz w:val="20"/>
          <w:szCs w:val="20"/>
        </w:rPr>
        <w:t>hree</w:t>
      </w:r>
      <w:r w:rsidRPr="00FF1BB6">
        <w:rPr>
          <w:rFonts w:ascii="Georgia" w:hAnsi="Georgia" w:cs="Arial"/>
          <w:sz w:val="20"/>
          <w:szCs w:val="20"/>
        </w:rPr>
        <w:t xml:space="preserve">fold, namely </w:t>
      </w:r>
    </w:p>
    <w:p w14:paraId="6FD3747B" w14:textId="77777777" w:rsidR="00552D22" w:rsidRPr="00FF1BB6" w:rsidRDefault="00552D22" w:rsidP="00552D22">
      <w:pPr>
        <w:numPr>
          <w:ilvl w:val="0"/>
          <w:numId w:val="9"/>
        </w:numPr>
        <w:spacing w:after="0" w:line="276" w:lineRule="auto"/>
        <w:rPr>
          <w:rFonts w:ascii="Georgia" w:hAnsi="Georgia" w:cs="Arial"/>
          <w:sz w:val="20"/>
          <w:szCs w:val="20"/>
        </w:rPr>
      </w:pPr>
      <w:r w:rsidRPr="00FF1BB6">
        <w:rPr>
          <w:rFonts w:ascii="Georgia" w:hAnsi="Georgia" w:cs="Arial"/>
          <w:sz w:val="20"/>
          <w:szCs w:val="20"/>
        </w:rPr>
        <w:t>to provide a scientific assessment of the status of the ecosystem,</w:t>
      </w:r>
    </w:p>
    <w:p w14:paraId="1E287883" w14:textId="25D3FFF1" w:rsidR="00552D22" w:rsidRDefault="00552D22" w:rsidP="00552D22">
      <w:pPr>
        <w:numPr>
          <w:ilvl w:val="0"/>
          <w:numId w:val="9"/>
        </w:numPr>
        <w:spacing w:after="0" w:line="276" w:lineRule="auto"/>
        <w:rPr>
          <w:rFonts w:ascii="Georgia" w:hAnsi="Georgia" w:cs="Arial"/>
          <w:sz w:val="20"/>
          <w:szCs w:val="20"/>
        </w:rPr>
      </w:pPr>
      <w:r w:rsidRPr="00FF1BB6">
        <w:rPr>
          <w:rFonts w:ascii="Georgia" w:hAnsi="Georgia" w:cs="Arial"/>
          <w:sz w:val="20"/>
          <w:szCs w:val="20"/>
        </w:rPr>
        <w:t xml:space="preserve">to </w:t>
      </w:r>
      <w:bookmarkStart w:id="0" w:name="_Hlk47002685"/>
      <w:r w:rsidRPr="00FF1BB6">
        <w:rPr>
          <w:rFonts w:ascii="Georgia" w:hAnsi="Georgia" w:cs="Arial"/>
          <w:sz w:val="20"/>
          <w:szCs w:val="20"/>
        </w:rPr>
        <w:t>assess the status of implementation of the Ecological Targets of the Wadden Sea Plan</w:t>
      </w:r>
      <w:bookmarkEnd w:id="0"/>
      <w:r w:rsidRPr="00FF1BB6">
        <w:rPr>
          <w:rFonts w:ascii="Georgia" w:hAnsi="Georgia" w:cs="Arial"/>
          <w:sz w:val="20"/>
          <w:szCs w:val="20"/>
        </w:rPr>
        <w:t>,</w:t>
      </w:r>
    </w:p>
    <w:p w14:paraId="510E9837" w14:textId="57BA2B0A" w:rsidR="00552D22" w:rsidRPr="00FF1BB6" w:rsidRDefault="00552D22" w:rsidP="00552D22">
      <w:pPr>
        <w:numPr>
          <w:ilvl w:val="0"/>
          <w:numId w:val="9"/>
        </w:numPr>
        <w:spacing w:after="0" w:line="276" w:lineRule="auto"/>
        <w:rPr>
          <w:rFonts w:ascii="Georgia" w:hAnsi="Georgia" w:cs="Arial"/>
          <w:sz w:val="20"/>
          <w:szCs w:val="20"/>
        </w:rPr>
      </w:pPr>
      <w:bookmarkStart w:id="1" w:name="_Hlk47002712"/>
      <w:r>
        <w:rPr>
          <w:rFonts w:ascii="Georgia" w:hAnsi="Georgia" w:cs="Arial"/>
          <w:sz w:val="20"/>
          <w:szCs w:val="20"/>
        </w:rPr>
        <w:t>use ecological monitoring and assessment to fulfil the UNESCO obligations for the World Heritage status</w:t>
      </w:r>
      <w:r w:rsidR="00F3440F">
        <w:rPr>
          <w:rFonts w:ascii="Georgia" w:hAnsi="Georgia" w:cs="Arial"/>
          <w:sz w:val="20"/>
          <w:szCs w:val="20"/>
        </w:rPr>
        <w:t xml:space="preserve"> and support the implementation of the World Heritage Management Plan</w:t>
      </w:r>
      <w:r w:rsidR="00E65143">
        <w:rPr>
          <w:rFonts w:ascii="Georgia" w:hAnsi="Georgia" w:cs="Arial"/>
          <w:sz w:val="20"/>
          <w:szCs w:val="20"/>
        </w:rPr>
        <w:t>.</w:t>
      </w:r>
    </w:p>
    <w:bookmarkEnd w:id="1"/>
    <w:p w14:paraId="5D3E58BE" w14:textId="77777777" w:rsidR="00AC3C92" w:rsidRDefault="00AC3C92" w:rsidP="00552D22">
      <w:pPr>
        <w:spacing w:line="276" w:lineRule="auto"/>
        <w:rPr>
          <w:rFonts w:ascii="Georgia" w:hAnsi="Georgia" w:cs="Arial"/>
          <w:sz w:val="20"/>
          <w:szCs w:val="20"/>
        </w:rPr>
      </w:pPr>
    </w:p>
    <w:p w14:paraId="5DAFBE76" w14:textId="5602D7F2" w:rsidR="00552D22" w:rsidRPr="00FF1BB6" w:rsidRDefault="00552D22" w:rsidP="00552D22">
      <w:pPr>
        <w:spacing w:line="276" w:lineRule="auto"/>
        <w:rPr>
          <w:rFonts w:ascii="Georgia" w:hAnsi="Georgia" w:cs="Arial"/>
          <w:sz w:val="20"/>
          <w:szCs w:val="20"/>
        </w:rPr>
      </w:pPr>
      <w:r>
        <w:rPr>
          <w:rFonts w:ascii="Georgia" w:hAnsi="Georgia" w:cs="Arial"/>
          <w:sz w:val="20"/>
          <w:szCs w:val="20"/>
        </w:rPr>
        <w:t>All three</w:t>
      </w:r>
      <w:r w:rsidRPr="00FF1BB6">
        <w:rPr>
          <w:rFonts w:ascii="Georgia" w:hAnsi="Georgia" w:cs="Arial"/>
          <w:sz w:val="20"/>
          <w:szCs w:val="20"/>
        </w:rPr>
        <w:t xml:space="preserve"> categories are essential for the development and evaluation of trilateral Wadden Sea conservation policies and management. </w:t>
      </w:r>
      <w:r>
        <w:rPr>
          <w:rFonts w:ascii="Georgia" w:hAnsi="Georgia" w:cs="Arial"/>
          <w:sz w:val="20"/>
          <w:szCs w:val="20"/>
        </w:rPr>
        <w:t>Since the WH status resulted from the efforts of the trilateral cooperation over decades, this</w:t>
      </w:r>
      <w:r w:rsidR="00DE4BB8">
        <w:rPr>
          <w:rFonts w:ascii="Georgia" w:hAnsi="Georgia" w:cs="Arial"/>
          <w:sz w:val="20"/>
          <w:szCs w:val="20"/>
        </w:rPr>
        <w:t xml:space="preserve"> additional</w:t>
      </w:r>
      <w:r>
        <w:rPr>
          <w:rFonts w:ascii="Georgia" w:hAnsi="Georgia" w:cs="Arial"/>
          <w:sz w:val="20"/>
          <w:szCs w:val="20"/>
        </w:rPr>
        <w:t xml:space="preserve"> regulatory framework is reflected within</w:t>
      </w:r>
      <w:r w:rsidR="00DE4BB8">
        <w:rPr>
          <w:rFonts w:ascii="Georgia" w:hAnsi="Georgia" w:cs="Arial"/>
          <w:sz w:val="20"/>
          <w:szCs w:val="20"/>
        </w:rPr>
        <w:t xml:space="preserve"> </w:t>
      </w:r>
      <w:r>
        <w:rPr>
          <w:rFonts w:ascii="Georgia" w:hAnsi="Georgia" w:cs="Arial"/>
          <w:sz w:val="20"/>
          <w:szCs w:val="20"/>
        </w:rPr>
        <w:t>the</w:t>
      </w:r>
      <w:r w:rsidR="00DE4BB8">
        <w:rPr>
          <w:rFonts w:ascii="Georgia" w:hAnsi="Georgia" w:cs="Arial"/>
          <w:sz w:val="20"/>
          <w:szCs w:val="20"/>
        </w:rPr>
        <w:t xml:space="preserve"> existing</w:t>
      </w:r>
      <w:r>
        <w:rPr>
          <w:rFonts w:ascii="Georgia" w:hAnsi="Georgia" w:cs="Arial"/>
          <w:sz w:val="20"/>
          <w:szCs w:val="20"/>
        </w:rPr>
        <w:t xml:space="preserve"> strategies</w:t>
      </w:r>
      <w:r w:rsidR="00DE4BB8">
        <w:rPr>
          <w:rFonts w:ascii="Georgia" w:hAnsi="Georgia" w:cs="Arial"/>
          <w:sz w:val="20"/>
          <w:szCs w:val="20"/>
        </w:rPr>
        <w:t xml:space="preserve"> and processes </w:t>
      </w:r>
      <w:r w:rsidR="00600516">
        <w:rPr>
          <w:rFonts w:ascii="Georgia" w:hAnsi="Georgia" w:cs="Arial"/>
          <w:sz w:val="20"/>
          <w:szCs w:val="20"/>
        </w:rPr>
        <w:t xml:space="preserve">to some extent, </w:t>
      </w:r>
      <w:r w:rsidR="00DE4BB8">
        <w:rPr>
          <w:rFonts w:ascii="Georgia" w:hAnsi="Georgia" w:cs="Arial"/>
          <w:sz w:val="20"/>
          <w:szCs w:val="20"/>
        </w:rPr>
        <w:t>but certainly adds further obligations and opportunities. The enhanced world-wide recognition and the role-model function for other marine cross bo</w:t>
      </w:r>
      <w:r w:rsidR="00B83EE9">
        <w:rPr>
          <w:rFonts w:ascii="Georgia" w:hAnsi="Georgia" w:cs="Arial"/>
          <w:sz w:val="20"/>
          <w:szCs w:val="20"/>
        </w:rPr>
        <w:t>r</w:t>
      </w:r>
      <w:r w:rsidR="00DE4BB8">
        <w:rPr>
          <w:rFonts w:ascii="Georgia" w:hAnsi="Georgia" w:cs="Arial"/>
          <w:sz w:val="20"/>
          <w:szCs w:val="20"/>
        </w:rPr>
        <w:t xml:space="preserve">der </w:t>
      </w:r>
      <w:r w:rsidR="00B83EE9">
        <w:rPr>
          <w:rFonts w:ascii="Georgia" w:hAnsi="Georgia" w:cs="Arial"/>
          <w:sz w:val="20"/>
          <w:szCs w:val="20"/>
        </w:rPr>
        <w:t>cooperation attempts</w:t>
      </w:r>
      <w:r w:rsidR="00DE4BB8">
        <w:rPr>
          <w:rFonts w:ascii="Georgia" w:hAnsi="Georgia" w:cs="Arial"/>
          <w:sz w:val="20"/>
          <w:szCs w:val="20"/>
        </w:rPr>
        <w:t xml:space="preserve"> could be used to further stabilize the existing programme and </w:t>
      </w:r>
      <w:r w:rsidR="00600516">
        <w:rPr>
          <w:rFonts w:ascii="Georgia" w:hAnsi="Georgia" w:cs="Arial"/>
          <w:sz w:val="20"/>
          <w:szCs w:val="20"/>
        </w:rPr>
        <w:t xml:space="preserve">foster the necessary </w:t>
      </w:r>
      <w:r w:rsidR="00DE4BB8">
        <w:rPr>
          <w:rFonts w:ascii="Georgia" w:hAnsi="Georgia" w:cs="Arial"/>
          <w:sz w:val="20"/>
          <w:szCs w:val="20"/>
        </w:rPr>
        <w:t>adjustment</w:t>
      </w:r>
      <w:r w:rsidR="00600516">
        <w:rPr>
          <w:rFonts w:ascii="Georgia" w:hAnsi="Georgia" w:cs="Arial"/>
          <w:sz w:val="20"/>
          <w:szCs w:val="20"/>
        </w:rPr>
        <w:t>s</w:t>
      </w:r>
      <w:r w:rsidR="00DE4BB8">
        <w:rPr>
          <w:rFonts w:ascii="Georgia" w:hAnsi="Georgia" w:cs="Arial"/>
          <w:sz w:val="20"/>
          <w:szCs w:val="20"/>
        </w:rPr>
        <w:t xml:space="preserve">. </w:t>
      </w:r>
      <w:r w:rsidRPr="00FF1BB6">
        <w:rPr>
          <w:rFonts w:ascii="Georgia" w:hAnsi="Georgia" w:cs="Arial"/>
          <w:sz w:val="20"/>
          <w:szCs w:val="20"/>
        </w:rPr>
        <w:t xml:space="preserve">The main </w:t>
      </w:r>
      <w:r w:rsidR="00600516">
        <w:rPr>
          <w:rFonts w:ascii="Georgia" w:hAnsi="Georgia" w:cs="Arial"/>
          <w:sz w:val="20"/>
          <w:szCs w:val="20"/>
        </w:rPr>
        <w:t xml:space="preserve">technical </w:t>
      </w:r>
      <w:r w:rsidRPr="00FF1BB6">
        <w:rPr>
          <w:rFonts w:ascii="Georgia" w:hAnsi="Georgia" w:cs="Arial"/>
          <w:sz w:val="20"/>
          <w:szCs w:val="20"/>
        </w:rPr>
        <w:t>purpose of monitoring the ecosystem and human activities is to collect data necessary for a scientific evaluation of the status of the ecosystem and the intensity and impact of human use</w:t>
      </w:r>
      <w:r w:rsidR="00600516">
        <w:rPr>
          <w:rFonts w:ascii="Georgia" w:hAnsi="Georgia" w:cs="Arial"/>
          <w:sz w:val="20"/>
          <w:szCs w:val="20"/>
        </w:rPr>
        <w:t xml:space="preserve"> and its implications to the system.</w:t>
      </w:r>
    </w:p>
    <w:p w14:paraId="0E91BD57" w14:textId="35E6C7DD" w:rsidR="00552D22" w:rsidRPr="00FF1BB6" w:rsidRDefault="00552D22" w:rsidP="00552D22">
      <w:pPr>
        <w:spacing w:line="276" w:lineRule="auto"/>
        <w:rPr>
          <w:rFonts w:ascii="Georgia" w:hAnsi="Georgia" w:cs="Arial"/>
          <w:sz w:val="20"/>
          <w:szCs w:val="20"/>
        </w:rPr>
      </w:pPr>
      <w:r w:rsidRPr="00FF1BB6">
        <w:rPr>
          <w:rFonts w:ascii="Georgia" w:hAnsi="Georgia" w:cs="Arial"/>
          <w:sz w:val="20"/>
          <w:szCs w:val="20"/>
        </w:rPr>
        <w:t>Th</w:t>
      </w:r>
      <w:r w:rsidR="00600516">
        <w:rPr>
          <w:rFonts w:ascii="Georgia" w:hAnsi="Georgia" w:cs="Arial"/>
          <w:sz w:val="20"/>
          <w:szCs w:val="20"/>
        </w:rPr>
        <w:t>is</w:t>
      </w:r>
      <w:r w:rsidRPr="00FF1BB6">
        <w:rPr>
          <w:rFonts w:ascii="Georgia" w:hAnsi="Georgia" w:cs="Arial"/>
          <w:sz w:val="20"/>
          <w:szCs w:val="20"/>
        </w:rPr>
        <w:t xml:space="preserve"> scientific assessment is an important basis for the formulation of policies and measures. Scientific knowledge is a prerequisite for the development of appropriate monitoring, application of assessment criteria and the formulation of policy goals for the protection of the ecosystem. The TMAP combines a comprehensive set of physical, chemical, </w:t>
      </w:r>
      <w:proofErr w:type="gramStart"/>
      <w:r w:rsidRPr="00FF1BB6">
        <w:rPr>
          <w:rFonts w:ascii="Georgia" w:hAnsi="Georgia" w:cs="Arial"/>
          <w:sz w:val="20"/>
          <w:szCs w:val="20"/>
        </w:rPr>
        <w:t>biological</w:t>
      </w:r>
      <w:proofErr w:type="gramEnd"/>
      <w:r w:rsidRPr="00FF1BB6">
        <w:rPr>
          <w:rFonts w:ascii="Georgia" w:hAnsi="Georgia" w:cs="Arial"/>
          <w:sz w:val="20"/>
          <w:szCs w:val="20"/>
        </w:rPr>
        <w:t xml:space="preserve"> and socio-economical parameters with concomitant ecosystem research. This research looks for causes of observed changes, its environmental significance and the need and possibilities for management measures. Furthermore, it gives a foundation for the selection of parameters and measuring strategies of the monitoring part, thus adapting it to current needs and knowledge. All parts of the monitoring programme have been integrated in a common structure for the collection, </w:t>
      </w:r>
      <w:proofErr w:type="gramStart"/>
      <w:r w:rsidRPr="00FF1BB6">
        <w:rPr>
          <w:rFonts w:ascii="Georgia" w:hAnsi="Georgia" w:cs="Arial"/>
          <w:sz w:val="20"/>
          <w:szCs w:val="20"/>
        </w:rPr>
        <w:t>processing</w:t>
      </w:r>
      <w:proofErr w:type="gramEnd"/>
      <w:r w:rsidRPr="00FF1BB6">
        <w:rPr>
          <w:rFonts w:ascii="Georgia" w:hAnsi="Georgia" w:cs="Arial"/>
          <w:sz w:val="20"/>
          <w:szCs w:val="20"/>
        </w:rPr>
        <w:t xml:space="preserve"> and exchange of data.</w:t>
      </w:r>
    </w:p>
    <w:p w14:paraId="1D053BCB" w14:textId="54C0645C" w:rsidR="0082381A" w:rsidRPr="00FF1BB6" w:rsidRDefault="0082381A" w:rsidP="00FF1BB6">
      <w:pPr>
        <w:autoSpaceDE w:val="0"/>
        <w:autoSpaceDN w:val="0"/>
        <w:adjustRightInd w:val="0"/>
        <w:spacing w:line="276" w:lineRule="auto"/>
        <w:rPr>
          <w:rFonts w:ascii="Georgia" w:hAnsi="Georgia" w:cs="Arial"/>
          <w:sz w:val="20"/>
          <w:szCs w:val="20"/>
        </w:rPr>
      </w:pPr>
      <w:r w:rsidRPr="00FF1BB6">
        <w:rPr>
          <w:rFonts w:ascii="Georgia" w:hAnsi="Georgia" w:cs="Arial"/>
          <w:sz w:val="20"/>
          <w:szCs w:val="20"/>
        </w:rPr>
        <w:t>The integrated assessment across the</w:t>
      </w:r>
      <w:r w:rsidR="00600516">
        <w:rPr>
          <w:rFonts w:ascii="Georgia" w:hAnsi="Georgia" w:cs="Arial"/>
          <w:sz w:val="20"/>
          <w:szCs w:val="20"/>
        </w:rPr>
        <w:t xml:space="preserve"> major European Directives (</w:t>
      </w:r>
      <w:r w:rsidRPr="00FF1BB6">
        <w:rPr>
          <w:rFonts w:ascii="Georgia" w:hAnsi="Georgia" w:cs="Arial"/>
          <w:sz w:val="20"/>
          <w:szCs w:val="20"/>
        </w:rPr>
        <w:t>HD, BD, WFD, MSFD</w:t>
      </w:r>
      <w:r w:rsidR="00600516">
        <w:rPr>
          <w:rFonts w:ascii="Georgia" w:hAnsi="Georgia" w:cs="Arial"/>
          <w:sz w:val="20"/>
          <w:szCs w:val="20"/>
        </w:rPr>
        <w:t>)</w:t>
      </w:r>
      <w:r w:rsidRPr="00FF1BB6">
        <w:rPr>
          <w:rFonts w:ascii="Georgia" w:hAnsi="Georgia" w:cs="Arial"/>
          <w:sz w:val="20"/>
          <w:szCs w:val="20"/>
        </w:rPr>
        <w:t xml:space="preserve"> and WH consists of two main elements</w:t>
      </w:r>
      <w:r w:rsidR="00600516">
        <w:rPr>
          <w:rFonts w:ascii="Georgia" w:hAnsi="Georgia" w:cs="Arial"/>
          <w:sz w:val="20"/>
          <w:szCs w:val="20"/>
        </w:rPr>
        <w:t>:</w:t>
      </w:r>
    </w:p>
    <w:p w14:paraId="6CD39A48" w14:textId="77777777" w:rsidR="0082381A" w:rsidRPr="00FF1BB6" w:rsidRDefault="0082381A" w:rsidP="00FF1BB6">
      <w:pPr>
        <w:autoSpaceDE w:val="0"/>
        <w:autoSpaceDN w:val="0"/>
        <w:adjustRightInd w:val="0"/>
        <w:spacing w:line="276" w:lineRule="auto"/>
        <w:rPr>
          <w:rFonts w:ascii="Georgia" w:hAnsi="Georgia" w:cs="Arial"/>
          <w:sz w:val="20"/>
          <w:szCs w:val="20"/>
        </w:rPr>
      </w:pPr>
      <w:r w:rsidRPr="00FF1BB6">
        <w:rPr>
          <w:rFonts w:ascii="Georgia" w:hAnsi="Georgia" w:cs="Arial"/>
          <w:sz w:val="20"/>
          <w:szCs w:val="20"/>
        </w:rPr>
        <w:t xml:space="preserve">The first element is integrated reporting, aiming at optimising the trilateral reporting requirements, </w:t>
      </w:r>
      <w:proofErr w:type="gramStart"/>
      <w:r w:rsidRPr="00FF1BB6">
        <w:rPr>
          <w:rFonts w:ascii="Georgia" w:hAnsi="Georgia" w:cs="Arial"/>
          <w:sz w:val="20"/>
          <w:szCs w:val="20"/>
        </w:rPr>
        <w:t>in particular the</w:t>
      </w:r>
      <w:proofErr w:type="gramEnd"/>
      <w:r w:rsidRPr="00FF1BB6">
        <w:rPr>
          <w:rFonts w:ascii="Georgia" w:hAnsi="Georgia" w:cs="Arial"/>
          <w:sz w:val="20"/>
          <w:szCs w:val="20"/>
        </w:rPr>
        <w:t xml:space="preserve"> </w:t>
      </w:r>
      <w:r w:rsidRPr="00811E7A">
        <w:rPr>
          <w:rFonts w:ascii="Georgia" w:hAnsi="Georgia" w:cs="Arial"/>
          <w:b/>
          <w:bCs/>
          <w:sz w:val="20"/>
          <w:szCs w:val="20"/>
        </w:rPr>
        <w:t>Quality Status Reports (QSR)</w:t>
      </w:r>
      <w:r w:rsidRPr="00FF1BB6">
        <w:rPr>
          <w:rFonts w:ascii="Georgia" w:hAnsi="Georgia" w:cs="Arial"/>
          <w:sz w:val="20"/>
          <w:szCs w:val="20"/>
        </w:rPr>
        <w:t xml:space="preserve"> at regular intervals, with those under the various EU Directives and the World Heritage. An important aspect of integrated reporting is the tuning of the timing of the various reporting events. Integrated reporting furthermore adds integrated ecosystem information to national reports under the EU Directives, thereby putting the latter type of information in a broader perspective.</w:t>
      </w:r>
    </w:p>
    <w:p w14:paraId="50704B21" w14:textId="7EFF1996" w:rsidR="00AC3C92" w:rsidRPr="00FF1BB6" w:rsidRDefault="0082381A" w:rsidP="00FF1BB6">
      <w:pPr>
        <w:autoSpaceDE w:val="0"/>
        <w:autoSpaceDN w:val="0"/>
        <w:adjustRightInd w:val="0"/>
        <w:spacing w:line="276" w:lineRule="auto"/>
        <w:rPr>
          <w:rFonts w:ascii="Georgia" w:hAnsi="Georgia" w:cs="Arial"/>
          <w:sz w:val="20"/>
          <w:szCs w:val="20"/>
        </w:rPr>
      </w:pPr>
      <w:r w:rsidRPr="00FF1BB6">
        <w:rPr>
          <w:rFonts w:ascii="Georgia" w:hAnsi="Georgia" w:cs="Arial"/>
          <w:sz w:val="20"/>
          <w:szCs w:val="20"/>
        </w:rPr>
        <w:t xml:space="preserve">The second element is the integration of assessment through the harmonisation of monitoring and assessment methodologies. Several steps into this direction have already been made, </w:t>
      </w:r>
      <w:proofErr w:type="spellStart"/>
      <w:r w:rsidRPr="00FF1BB6">
        <w:rPr>
          <w:rFonts w:ascii="Georgia" w:hAnsi="Georgia" w:cs="Arial"/>
          <w:sz w:val="20"/>
          <w:szCs w:val="20"/>
        </w:rPr>
        <w:t>through</w:t>
      </w:r>
      <w:proofErr w:type="spellEnd"/>
      <w:r w:rsidRPr="00FF1BB6">
        <w:rPr>
          <w:rFonts w:ascii="Georgia" w:hAnsi="Georgia" w:cs="Arial"/>
          <w:sz w:val="20"/>
          <w:szCs w:val="20"/>
        </w:rPr>
        <w:t xml:space="preserve">, amongst others, the monitoring of contaminants in bird eggs monitoring and the harmonisation of salt marsh and mussel bed monitoring methodologies. </w:t>
      </w:r>
    </w:p>
    <w:p w14:paraId="3567DB3B" w14:textId="3571F0F1" w:rsidR="0082381A" w:rsidRDefault="0082381A" w:rsidP="00FF1BB6">
      <w:pPr>
        <w:autoSpaceDE w:val="0"/>
        <w:autoSpaceDN w:val="0"/>
        <w:adjustRightInd w:val="0"/>
        <w:spacing w:line="276" w:lineRule="auto"/>
        <w:rPr>
          <w:rFonts w:ascii="Georgia" w:hAnsi="Georgia" w:cs="Arial"/>
          <w:sz w:val="20"/>
          <w:szCs w:val="20"/>
        </w:rPr>
      </w:pPr>
      <w:r w:rsidRPr="00FF1BB6">
        <w:rPr>
          <w:rFonts w:ascii="Georgia" w:hAnsi="Georgia" w:cs="Arial"/>
          <w:sz w:val="20"/>
          <w:szCs w:val="20"/>
        </w:rPr>
        <w:t>In the coming years efforts to harmonise monitoring and assessment methodologies will be continued and possibilities for integrated ecosystem assessment and reporting further explored and tested.</w:t>
      </w:r>
    </w:p>
    <w:p w14:paraId="6354EE98" w14:textId="676C9E9B" w:rsidR="00B34C09" w:rsidRPr="0076717D" w:rsidRDefault="00B34C09" w:rsidP="00B34C09">
      <w:pPr>
        <w:autoSpaceDE w:val="0"/>
        <w:autoSpaceDN w:val="0"/>
        <w:adjustRightInd w:val="0"/>
        <w:spacing w:line="276" w:lineRule="auto"/>
        <w:rPr>
          <w:rFonts w:ascii="Georgia" w:hAnsi="Georgia" w:cs="Arial"/>
          <w:bCs/>
          <w:sz w:val="20"/>
          <w:szCs w:val="20"/>
        </w:rPr>
      </w:pPr>
      <w:r w:rsidRPr="00552D22">
        <w:rPr>
          <w:rFonts w:ascii="Georgia" w:hAnsi="Georgia" w:cs="Arial"/>
          <w:bCs/>
          <w:sz w:val="20"/>
          <w:szCs w:val="20"/>
        </w:rPr>
        <w:t xml:space="preserve">To </w:t>
      </w:r>
      <w:r>
        <w:rPr>
          <w:rFonts w:ascii="Georgia" w:hAnsi="Georgia" w:cs="Arial"/>
          <w:bCs/>
          <w:sz w:val="20"/>
          <w:szCs w:val="20"/>
        </w:rPr>
        <w:t xml:space="preserve">foster </w:t>
      </w:r>
      <w:r w:rsidRPr="00552D22">
        <w:rPr>
          <w:rFonts w:ascii="Georgia" w:hAnsi="Georgia" w:cs="Arial"/>
          <w:bCs/>
          <w:sz w:val="20"/>
          <w:szCs w:val="20"/>
        </w:rPr>
        <w:t>the implementation of the objectives</w:t>
      </w:r>
      <w:r>
        <w:rPr>
          <w:rFonts w:ascii="Georgia" w:hAnsi="Georgia" w:cs="Arial"/>
          <w:bCs/>
          <w:sz w:val="20"/>
          <w:szCs w:val="20"/>
        </w:rPr>
        <w:t xml:space="preserve"> and  </w:t>
      </w:r>
      <w:r w:rsidRPr="00552D22">
        <w:rPr>
          <w:rFonts w:ascii="Georgia" w:hAnsi="Georgia" w:cs="Arial"/>
          <w:bCs/>
          <w:sz w:val="20"/>
          <w:szCs w:val="20"/>
        </w:rPr>
        <w:t>to tackle the existing and arising challenges</w:t>
      </w:r>
      <w:r>
        <w:rPr>
          <w:rFonts w:ascii="Georgia" w:hAnsi="Georgia" w:cs="Arial"/>
          <w:bCs/>
          <w:sz w:val="20"/>
          <w:szCs w:val="20"/>
        </w:rPr>
        <w:t xml:space="preserve"> to further streamline and vitalize the trilateral data handling</w:t>
      </w:r>
      <w:r w:rsidRPr="00552D22">
        <w:rPr>
          <w:rFonts w:ascii="Georgia" w:hAnsi="Georgia" w:cs="Arial"/>
          <w:bCs/>
          <w:sz w:val="20"/>
          <w:szCs w:val="20"/>
        </w:rPr>
        <w:t xml:space="preserve">, it was decided to install the </w:t>
      </w:r>
      <w:r w:rsidRPr="00811E7A">
        <w:rPr>
          <w:rFonts w:ascii="Georgia" w:hAnsi="Georgia" w:cs="Arial"/>
          <w:b/>
          <w:sz w:val="20"/>
          <w:szCs w:val="20"/>
        </w:rPr>
        <w:t>Task Group Monitoring and Assessment (TG-MA)</w:t>
      </w:r>
      <w:r w:rsidRPr="00552D22">
        <w:rPr>
          <w:rFonts w:ascii="Georgia" w:hAnsi="Georgia" w:cs="Arial"/>
          <w:bCs/>
          <w:sz w:val="20"/>
          <w:szCs w:val="20"/>
        </w:rPr>
        <w:t xml:space="preserve"> </w:t>
      </w:r>
      <w:r>
        <w:rPr>
          <w:rFonts w:ascii="Georgia" w:hAnsi="Georgia" w:cs="Arial"/>
          <w:bCs/>
          <w:sz w:val="20"/>
          <w:szCs w:val="20"/>
        </w:rPr>
        <w:t>for</w:t>
      </w:r>
      <w:r w:rsidRPr="00552D22">
        <w:rPr>
          <w:rFonts w:ascii="Georgia" w:hAnsi="Georgia" w:cs="Arial"/>
          <w:bCs/>
          <w:sz w:val="20"/>
          <w:szCs w:val="20"/>
        </w:rPr>
        <w:t xml:space="preserve"> the period of the German presidency</w:t>
      </w:r>
      <w:r>
        <w:rPr>
          <w:rFonts w:ascii="Georgia" w:hAnsi="Georgia" w:cs="Arial"/>
          <w:bCs/>
          <w:sz w:val="20"/>
          <w:szCs w:val="20"/>
        </w:rPr>
        <w:t xml:space="preserve">. The installation of this dedicated is aiming to reflect on the importance and value of TMAP. </w:t>
      </w:r>
    </w:p>
    <w:p w14:paraId="6F351AE0" w14:textId="77777777" w:rsidR="00B34C09" w:rsidRPr="00FF1BB6" w:rsidRDefault="00B34C09" w:rsidP="00FF1BB6">
      <w:pPr>
        <w:autoSpaceDE w:val="0"/>
        <w:autoSpaceDN w:val="0"/>
        <w:adjustRightInd w:val="0"/>
        <w:spacing w:line="276" w:lineRule="auto"/>
        <w:rPr>
          <w:rFonts w:ascii="Georgia" w:hAnsi="Georgia" w:cs="Arial"/>
          <w:sz w:val="20"/>
          <w:szCs w:val="20"/>
        </w:rPr>
      </w:pPr>
    </w:p>
    <w:p w14:paraId="378EB40A" w14:textId="77777777" w:rsidR="006F2049" w:rsidRDefault="006F2049" w:rsidP="00031F7C">
      <w:pPr>
        <w:autoSpaceDE w:val="0"/>
        <w:autoSpaceDN w:val="0"/>
        <w:adjustRightInd w:val="0"/>
        <w:spacing w:line="276" w:lineRule="auto"/>
        <w:rPr>
          <w:rFonts w:ascii="Arial" w:hAnsi="Arial" w:cs="Arial"/>
          <w:b/>
          <w:bCs/>
          <w:sz w:val="24"/>
          <w:szCs w:val="24"/>
        </w:rPr>
      </w:pPr>
    </w:p>
    <w:p w14:paraId="1B109E97" w14:textId="11319E33" w:rsidR="00B34C09" w:rsidRPr="00B34C09" w:rsidRDefault="00811E7A" w:rsidP="00031F7C">
      <w:pPr>
        <w:autoSpaceDE w:val="0"/>
        <w:autoSpaceDN w:val="0"/>
        <w:adjustRightInd w:val="0"/>
        <w:spacing w:line="276" w:lineRule="auto"/>
        <w:rPr>
          <w:rFonts w:ascii="Arial" w:hAnsi="Arial" w:cs="Arial"/>
          <w:b/>
          <w:bCs/>
          <w:sz w:val="24"/>
          <w:szCs w:val="24"/>
        </w:rPr>
      </w:pPr>
      <w:r>
        <w:rPr>
          <w:rFonts w:ascii="Arial" w:hAnsi="Arial" w:cs="Arial"/>
          <w:b/>
          <w:bCs/>
          <w:sz w:val="24"/>
          <w:szCs w:val="24"/>
        </w:rPr>
        <w:lastRenderedPageBreak/>
        <w:t xml:space="preserve">Assessment - </w:t>
      </w:r>
      <w:r w:rsidR="00B34C09" w:rsidRPr="00B34C09">
        <w:rPr>
          <w:rFonts w:ascii="Arial" w:hAnsi="Arial" w:cs="Arial"/>
          <w:b/>
          <w:bCs/>
          <w:sz w:val="24"/>
          <w:szCs w:val="24"/>
        </w:rPr>
        <w:t>Quality Status Report</w:t>
      </w:r>
    </w:p>
    <w:p w14:paraId="10D5161A" w14:textId="06E0BCD6" w:rsidR="00B34C09" w:rsidRDefault="00B34C09" w:rsidP="00031F7C">
      <w:pPr>
        <w:autoSpaceDE w:val="0"/>
        <w:autoSpaceDN w:val="0"/>
        <w:adjustRightInd w:val="0"/>
        <w:spacing w:line="276" w:lineRule="auto"/>
        <w:rPr>
          <w:rFonts w:ascii="Georgia" w:hAnsi="Georgia" w:cs="Arial"/>
          <w:sz w:val="20"/>
          <w:szCs w:val="20"/>
        </w:rPr>
      </w:pPr>
      <w:bookmarkStart w:id="2" w:name="_Hlk47008662"/>
      <w:r w:rsidRPr="00B34C09">
        <w:rPr>
          <w:rFonts w:ascii="Georgia" w:hAnsi="Georgia" w:cs="Arial"/>
          <w:sz w:val="20"/>
          <w:szCs w:val="20"/>
        </w:rPr>
        <w:t xml:space="preserve">Since 1999, the Trilateral Wadden Sea Cooperation (TWSC) between Denmark, Germany and the Netherlands has periodically produced Wadden Sea Quality Status Reports (QSR) describing and evaluating the current ecological status of the Wadden Sea. The QSRs identify changes in this status and their possible causes, classify issues of concern and indicate possible measures of amelioration, including evaluation of the likely effectiveness of these measures. They also indicate gaps in our knowledge. The QSRs are based upon the Trilateral Monitoring and Assessment Programme (TMAP). </w:t>
      </w:r>
      <w:bookmarkEnd w:id="2"/>
      <w:r w:rsidRPr="00B34C09">
        <w:rPr>
          <w:rFonts w:ascii="Georgia" w:hAnsi="Georgia" w:cs="Arial"/>
          <w:sz w:val="20"/>
          <w:szCs w:val="20"/>
        </w:rPr>
        <w:t>The programme and the reports were key elements in achieving the inscription of major parts of the cooperation area on the list of UNESCO World Heritage Sites.</w:t>
      </w:r>
    </w:p>
    <w:p w14:paraId="76B92179" w14:textId="4AFA9B4A" w:rsidR="00B34C09" w:rsidRDefault="00B34C09" w:rsidP="00031F7C">
      <w:pPr>
        <w:autoSpaceDE w:val="0"/>
        <w:autoSpaceDN w:val="0"/>
        <w:adjustRightInd w:val="0"/>
        <w:spacing w:line="276" w:lineRule="auto"/>
        <w:rPr>
          <w:rFonts w:ascii="Georgia" w:hAnsi="Georgia" w:cs="Arial"/>
          <w:sz w:val="20"/>
          <w:szCs w:val="20"/>
        </w:rPr>
      </w:pPr>
      <w:r w:rsidRPr="00B34C09">
        <w:rPr>
          <w:rFonts w:ascii="Georgia" w:hAnsi="Georgia" w:cs="Arial"/>
          <w:sz w:val="20"/>
          <w:szCs w:val="20"/>
        </w:rPr>
        <w:t xml:space="preserve">The 2017 Quality Status Report was written by over 100 scientists and edited by the QSR Editorial Board in cooperation with CWSS. Like its predecessors it comprises reports covering the parameters as defined on basis of the TMAP Common Package (see Table 1). </w:t>
      </w:r>
    </w:p>
    <w:p w14:paraId="0B2433A9" w14:textId="3C0FDB88" w:rsidR="00B34C09" w:rsidRPr="00B34C09" w:rsidRDefault="00B34C09" w:rsidP="00031F7C">
      <w:pPr>
        <w:autoSpaceDE w:val="0"/>
        <w:autoSpaceDN w:val="0"/>
        <w:adjustRightInd w:val="0"/>
        <w:spacing w:line="276" w:lineRule="auto"/>
        <w:rPr>
          <w:rFonts w:ascii="Georgia" w:hAnsi="Georgia" w:cs="Arial"/>
          <w:i/>
          <w:iCs/>
          <w:sz w:val="18"/>
          <w:szCs w:val="18"/>
        </w:rPr>
      </w:pPr>
      <w:r>
        <w:rPr>
          <w:noProof/>
        </w:rPr>
        <w:drawing>
          <wp:anchor distT="0" distB="0" distL="114300" distR="114300" simplePos="0" relativeHeight="251658240" behindDoc="0" locked="0" layoutInCell="1" allowOverlap="1" wp14:anchorId="37325BAB" wp14:editId="5EE12226">
            <wp:simplePos x="0" y="0"/>
            <wp:positionH relativeFrom="column">
              <wp:posOffset>-75063</wp:posOffset>
            </wp:positionH>
            <wp:positionV relativeFrom="paragraph">
              <wp:posOffset>242389</wp:posOffset>
            </wp:positionV>
            <wp:extent cx="5759450" cy="2032000"/>
            <wp:effectExtent l="0" t="0" r="0" b="6350"/>
            <wp:wrapNone/>
            <wp:docPr id="1" name="Picture 1" descr="Table 1. List of reports of the 2017 QSR by secti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le 1. List of reports of the 2017 QSR by sections."/>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5759450" cy="2032000"/>
                    </a:xfrm>
                    <a:prstGeom prst="rect">
                      <a:avLst/>
                    </a:prstGeom>
                    <a:noFill/>
                    <a:ln>
                      <a:noFill/>
                    </a:ln>
                  </pic:spPr>
                </pic:pic>
              </a:graphicData>
            </a:graphic>
          </wp:anchor>
        </w:drawing>
      </w:r>
      <w:r w:rsidRPr="00B34C09">
        <w:rPr>
          <w:rFonts w:ascii="Georgia" w:hAnsi="Georgia" w:cs="Arial"/>
          <w:i/>
          <w:iCs/>
          <w:sz w:val="18"/>
          <w:szCs w:val="18"/>
        </w:rPr>
        <w:t>Table 1. List of reports of the 2017 QSR by sections.</w:t>
      </w:r>
    </w:p>
    <w:p w14:paraId="634A7617" w14:textId="6B6D85EA" w:rsidR="00B34C09" w:rsidRDefault="00B34C09" w:rsidP="00031F7C">
      <w:pPr>
        <w:autoSpaceDE w:val="0"/>
        <w:autoSpaceDN w:val="0"/>
        <w:adjustRightInd w:val="0"/>
        <w:spacing w:line="276" w:lineRule="auto"/>
        <w:rPr>
          <w:rFonts w:ascii="Georgia" w:hAnsi="Georgia" w:cs="Arial"/>
          <w:sz w:val="20"/>
          <w:szCs w:val="20"/>
        </w:rPr>
      </w:pPr>
    </w:p>
    <w:p w14:paraId="53E53172" w14:textId="011B2F05" w:rsidR="00B34C09" w:rsidRDefault="00B34C09" w:rsidP="00031F7C">
      <w:pPr>
        <w:autoSpaceDE w:val="0"/>
        <w:autoSpaceDN w:val="0"/>
        <w:adjustRightInd w:val="0"/>
        <w:spacing w:line="276" w:lineRule="auto"/>
        <w:rPr>
          <w:rFonts w:ascii="Georgia" w:hAnsi="Georgia" w:cs="Arial"/>
          <w:sz w:val="20"/>
          <w:szCs w:val="20"/>
        </w:rPr>
      </w:pPr>
    </w:p>
    <w:p w14:paraId="0D650F30" w14:textId="163A9C0B" w:rsidR="00B34C09" w:rsidRDefault="00B34C09" w:rsidP="00031F7C">
      <w:pPr>
        <w:autoSpaceDE w:val="0"/>
        <w:autoSpaceDN w:val="0"/>
        <w:adjustRightInd w:val="0"/>
        <w:spacing w:line="276" w:lineRule="auto"/>
        <w:rPr>
          <w:rFonts w:ascii="Georgia" w:hAnsi="Georgia" w:cs="Arial"/>
          <w:sz w:val="20"/>
          <w:szCs w:val="20"/>
        </w:rPr>
      </w:pPr>
    </w:p>
    <w:p w14:paraId="38BB8604" w14:textId="30DEC137" w:rsidR="00B34C09" w:rsidRDefault="00B34C09" w:rsidP="00031F7C">
      <w:pPr>
        <w:autoSpaceDE w:val="0"/>
        <w:autoSpaceDN w:val="0"/>
        <w:adjustRightInd w:val="0"/>
        <w:spacing w:line="276" w:lineRule="auto"/>
        <w:rPr>
          <w:rFonts w:ascii="Georgia" w:hAnsi="Georgia" w:cs="Arial"/>
          <w:sz w:val="20"/>
          <w:szCs w:val="20"/>
        </w:rPr>
      </w:pPr>
    </w:p>
    <w:p w14:paraId="615FF825" w14:textId="63A98F5A" w:rsidR="00B34C09" w:rsidRDefault="00B34C09" w:rsidP="00031F7C">
      <w:pPr>
        <w:autoSpaceDE w:val="0"/>
        <w:autoSpaceDN w:val="0"/>
        <w:adjustRightInd w:val="0"/>
        <w:spacing w:line="276" w:lineRule="auto"/>
        <w:rPr>
          <w:rFonts w:ascii="Georgia" w:hAnsi="Georgia" w:cs="Arial"/>
          <w:sz w:val="20"/>
          <w:szCs w:val="20"/>
        </w:rPr>
      </w:pPr>
    </w:p>
    <w:p w14:paraId="066354B9" w14:textId="1D2B491F" w:rsidR="00B34C09" w:rsidRDefault="00B34C09" w:rsidP="00031F7C">
      <w:pPr>
        <w:autoSpaceDE w:val="0"/>
        <w:autoSpaceDN w:val="0"/>
        <w:adjustRightInd w:val="0"/>
        <w:spacing w:line="276" w:lineRule="auto"/>
        <w:rPr>
          <w:rFonts w:ascii="Georgia" w:hAnsi="Georgia" w:cs="Arial"/>
          <w:sz w:val="20"/>
          <w:szCs w:val="20"/>
        </w:rPr>
      </w:pPr>
    </w:p>
    <w:p w14:paraId="7E07796F" w14:textId="054F04BA" w:rsidR="00B34C09" w:rsidRDefault="00B34C09" w:rsidP="00031F7C">
      <w:pPr>
        <w:autoSpaceDE w:val="0"/>
        <w:autoSpaceDN w:val="0"/>
        <w:adjustRightInd w:val="0"/>
        <w:spacing w:line="276" w:lineRule="auto"/>
        <w:rPr>
          <w:rFonts w:ascii="Georgia" w:hAnsi="Georgia" w:cs="Arial"/>
          <w:sz w:val="20"/>
          <w:szCs w:val="20"/>
        </w:rPr>
      </w:pPr>
    </w:p>
    <w:p w14:paraId="172D09EF" w14:textId="5E121885" w:rsidR="00B34C09" w:rsidRDefault="00B34C09" w:rsidP="00031F7C">
      <w:pPr>
        <w:autoSpaceDE w:val="0"/>
        <w:autoSpaceDN w:val="0"/>
        <w:adjustRightInd w:val="0"/>
        <w:spacing w:line="276" w:lineRule="auto"/>
        <w:rPr>
          <w:rFonts w:ascii="Georgia" w:hAnsi="Georgia" w:cs="Arial"/>
          <w:sz w:val="20"/>
          <w:szCs w:val="20"/>
        </w:rPr>
      </w:pPr>
    </w:p>
    <w:p w14:paraId="5B5F3D77" w14:textId="52D9B0C6" w:rsidR="00B34C09" w:rsidRDefault="00B34C09" w:rsidP="00031F7C">
      <w:pPr>
        <w:autoSpaceDE w:val="0"/>
        <w:autoSpaceDN w:val="0"/>
        <w:adjustRightInd w:val="0"/>
        <w:spacing w:line="276" w:lineRule="auto"/>
        <w:rPr>
          <w:rFonts w:ascii="Georgia" w:hAnsi="Georgia" w:cs="Arial"/>
          <w:sz w:val="20"/>
          <w:szCs w:val="20"/>
        </w:rPr>
      </w:pPr>
      <w:r>
        <w:rPr>
          <w:rFonts w:ascii="Georgia" w:hAnsi="Georgia" w:cs="Arial"/>
          <w:sz w:val="20"/>
          <w:szCs w:val="20"/>
        </w:rPr>
        <w:t xml:space="preserve">The QSR thematic reports are foreseen to be updated in regular intervals based on data availability, trilateral </w:t>
      </w:r>
      <w:proofErr w:type="gramStart"/>
      <w:r>
        <w:rPr>
          <w:rFonts w:ascii="Georgia" w:hAnsi="Georgia" w:cs="Arial"/>
          <w:sz w:val="20"/>
          <w:szCs w:val="20"/>
        </w:rPr>
        <w:t>events</w:t>
      </w:r>
      <w:proofErr w:type="gramEnd"/>
      <w:r>
        <w:rPr>
          <w:rFonts w:ascii="Georgia" w:hAnsi="Georgia" w:cs="Arial"/>
          <w:sz w:val="20"/>
          <w:szCs w:val="20"/>
        </w:rPr>
        <w:t xml:space="preserve"> or emerging issues. A QSR Synthesis will combine the findings from the Thematic Reports and will be issued in the forerun of the Ministerial Conferences every four years to provide condensed overview on the status of the ecosystem with relevant information for management and decision making</w:t>
      </w:r>
      <w:r w:rsidR="00811E7A">
        <w:rPr>
          <w:rFonts w:ascii="Georgia" w:hAnsi="Georgia" w:cs="Arial"/>
          <w:sz w:val="20"/>
          <w:szCs w:val="20"/>
        </w:rPr>
        <w:t>.</w:t>
      </w:r>
      <w:r>
        <w:rPr>
          <w:rFonts w:ascii="Georgia" w:hAnsi="Georgia" w:cs="Arial"/>
          <w:sz w:val="20"/>
          <w:szCs w:val="20"/>
        </w:rPr>
        <w:t xml:space="preserve"> </w:t>
      </w:r>
      <w:r w:rsidR="00811E7A">
        <w:rPr>
          <w:rFonts w:ascii="Georgia" w:hAnsi="Georgia" w:cs="Arial"/>
          <w:sz w:val="20"/>
          <w:szCs w:val="20"/>
        </w:rPr>
        <w:t>R</w:t>
      </w:r>
      <w:r>
        <w:rPr>
          <w:rFonts w:ascii="Georgia" w:hAnsi="Georgia" w:cs="Arial"/>
          <w:sz w:val="20"/>
          <w:szCs w:val="20"/>
        </w:rPr>
        <w:t xml:space="preserve">eference </w:t>
      </w:r>
      <w:r w:rsidR="00811E7A">
        <w:rPr>
          <w:rFonts w:ascii="Georgia" w:hAnsi="Georgia" w:cs="Arial"/>
          <w:sz w:val="20"/>
          <w:szCs w:val="20"/>
        </w:rPr>
        <w:t>are the</w:t>
      </w:r>
      <w:r>
        <w:rPr>
          <w:rFonts w:ascii="Georgia" w:hAnsi="Georgia" w:cs="Arial"/>
          <w:sz w:val="20"/>
          <w:szCs w:val="20"/>
        </w:rPr>
        <w:t xml:space="preserve"> Thematic Reports </w:t>
      </w:r>
      <w:r w:rsidR="00811E7A">
        <w:rPr>
          <w:rFonts w:ascii="Georgia" w:hAnsi="Georgia" w:cs="Arial"/>
          <w:sz w:val="20"/>
          <w:szCs w:val="20"/>
        </w:rPr>
        <w:t xml:space="preserve">with extended </w:t>
      </w:r>
      <w:r>
        <w:rPr>
          <w:rFonts w:ascii="Georgia" w:hAnsi="Georgia" w:cs="Arial"/>
          <w:sz w:val="20"/>
          <w:szCs w:val="20"/>
        </w:rPr>
        <w:t xml:space="preserve">information on a more </w:t>
      </w:r>
      <w:r w:rsidR="00811E7A">
        <w:rPr>
          <w:rFonts w:ascii="Georgia" w:hAnsi="Georgia" w:cs="Arial"/>
          <w:sz w:val="20"/>
          <w:szCs w:val="20"/>
        </w:rPr>
        <w:t>scientific</w:t>
      </w:r>
      <w:r>
        <w:rPr>
          <w:rFonts w:ascii="Georgia" w:hAnsi="Georgia" w:cs="Arial"/>
          <w:sz w:val="20"/>
          <w:szCs w:val="20"/>
        </w:rPr>
        <w:t xml:space="preserve"> level. The CWSS is coordinating th</w:t>
      </w:r>
      <w:r w:rsidR="00811E7A">
        <w:rPr>
          <w:rFonts w:ascii="Georgia" w:hAnsi="Georgia" w:cs="Arial"/>
          <w:sz w:val="20"/>
          <w:szCs w:val="20"/>
        </w:rPr>
        <w:t xml:space="preserve">e QSR </w:t>
      </w:r>
      <w:r>
        <w:rPr>
          <w:rFonts w:ascii="Georgia" w:hAnsi="Georgia" w:cs="Arial"/>
          <w:sz w:val="20"/>
          <w:szCs w:val="20"/>
        </w:rPr>
        <w:t>process with support by TG-MA.</w:t>
      </w:r>
    </w:p>
    <w:p w14:paraId="186B8942" w14:textId="4049D3FD" w:rsidR="00B34C09" w:rsidRDefault="00B34C09" w:rsidP="00031F7C">
      <w:pPr>
        <w:autoSpaceDE w:val="0"/>
        <w:autoSpaceDN w:val="0"/>
        <w:adjustRightInd w:val="0"/>
        <w:spacing w:line="276" w:lineRule="auto"/>
        <w:rPr>
          <w:rFonts w:ascii="Georgia" w:hAnsi="Georgia" w:cs="Arial"/>
          <w:sz w:val="20"/>
          <w:szCs w:val="20"/>
        </w:rPr>
      </w:pPr>
    </w:p>
    <w:p w14:paraId="2F21AC0F" w14:textId="2FE5871F" w:rsidR="00811E7A" w:rsidRPr="00811E7A" w:rsidRDefault="00811E7A" w:rsidP="00811E7A">
      <w:pPr>
        <w:autoSpaceDE w:val="0"/>
        <w:autoSpaceDN w:val="0"/>
        <w:adjustRightInd w:val="0"/>
        <w:spacing w:line="276" w:lineRule="auto"/>
        <w:rPr>
          <w:rFonts w:ascii="Arial" w:hAnsi="Arial" w:cs="Arial"/>
          <w:b/>
          <w:sz w:val="24"/>
          <w:szCs w:val="24"/>
        </w:rPr>
      </w:pPr>
      <w:r w:rsidRPr="00811E7A">
        <w:rPr>
          <w:rFonts w:ascii="Arial" w:hAnsi="Arial" w:cs="Arial"/>
          <w:b/>
          <w:sz w:val="24"/>
          <w:szCs w:val="24"/>
        </w:rPr>
        <w:t>Challenges</w:t>
      </w:r>
      <w:r w:rsidR="00305A0F">
        <w:rPr>
          <w:rFonts w:ascii="Arial" w:hAnsi="Arial" w:cs="Arial"/>
          <w:b/>
          <w:sz w:val="24"/>
          <w:szCs w:val="24"/>
        </w:rPr>
        <w:t xml:space="preserve"> and Outlook</w:t>
      </w:r>
    </w:p>
    <w:p w14:paraId="39D275E5" w14:textId="77777777" w:rsidR="00811E7A" w:rsidRDefault="00811E7A" w:rsidP="00811E7A">
      <w:pPr>
        <w:autoSpaceDE w:val="0"/>
        <w:autoSpaceDN w:val="0"/>
        <w:adjustRightInd w:val="0"/>
        <w:spacing w:line="276" w:lineRule="auto"/>
        <w:rPr>
          <w:rFonts w:ascii="Georgia" w:hAnsi="Georgia" w:cs="Arial"/>
          <w:sz w:val="20"/>
          <w:szCs w:val="20"/>
        </w:rPr>
      </w:pPr>
      <w:r w:rsidRPr="00672C56">
        <w:rPr>
          <w:rFonts w:ascii="Georgia" w:hAnsi="Georgia" w:cs="Arial"/>
          <w:sz w:val="20"/>
          <w:szCs w:val="20"/>
          <w:u w:val="single"/>
        </w:rPr>
        <w:t>TMAP assessment and adjustment</w:t>
      </w:r>
      <w:r>
        <w:rPr>
          <w:rFonts w:ascii="Georgia" w:hAnsi="Georgia" w:cs="Arial"/>
          <w:sz w:val="20"/>
          <w:szCs w:val="20"/>
        </w:rPr>
        <w:t>:</w:t>
      </w:r>
    </w:p>
    <w:p w14:paraId="5A019FBE" w14:textId="77777777" w:rsidR="00811E7A" w:rsidRPr="00FF1BB6" w:rsidRDefault="00811E7A" w:rsidP="00811E7A">
      <w:pPr>
        <w:autoSpaceDE w:val="0"/>
        <w:autoSpaceDN w:val="0"/>
        <w:adjustRightInd w:val="0"/>
        <w:spacing w:line="276" w:lineRule="auto"/>
        <w:rPr>
          <w:rFonts w:ascii="Georgia" w:hAnsi="Georgia" w:cs="Arial"/>
          <w:i/>
          <w:sz w:val="20"/>
          <w:szCs w:val="20"/>
        </w:rPr>
      </w:pPr>
      <w:r w:rsidRPr="00FF1BB6">
        <w:rPr>
          <w:rFonts w:ascii="Georgia" w:hAnsi="Georgia" w:cs="Arial"/>
          <w:sz w:val="20"/>
          <w:szCs w:val="20"/>
        </w:rPr>
        <w:t xml:space="preserve">In the coming years new requirements to the TMAP will emerge, related to (new) trilateral policies </w:t>
      </w:r>
      <w:proofErr w:type="gramStart"/>
      <w:r w:rsidRPr="00FF1BB6">
        <w:rPr>
          <w:rFonts w:ascii="Georgia" w:hAnsi="Georgia" w:cs="Arial"/>
          <w:sz w:val="20"/>
          <w:szCs w:val="20"/>
        </w:rPr>
        <w:t>with regard to</w:t>
      </w:r>
      <w:proofErr w:type="gramEnd"/>
      <w:r w:rsidRPr="00FF1BB6">
        <w:rPr>
          <w:rFonts w:ascii="Georgia" w:hAnsi="Georgia" w:cs="Arial"/>
          <w:sz w:val="20"/>
          <w:szCs w:val="20"/>
        </w:rPr>
        <w:t xml:space="preserve">, </w:t>
      </w:r>
      <w:r w:rsidRPr="00FF1BB6">
        <w:rPr>
          <w:rFonts w:ascii="Georgia" w:hAnsi="Georgia" w:cs="Arial"/>
          <w:i/>
          <w:sz w:val="20"/>
          <w:szCs w:val="20"/>
        </w:rPr>
        <w:t xml:space="preserve">inter alia </w:t>
      </w:r>
    </w:p>
    <w:p w14:paraId="0B5A15CB" w14:textId="77777777" w:rsidR="00811E7A" w:rsidRPr="00FF1BB6" w:rsidRDefault="00811E7A" w:rsidP="00811E7A">
      <w:pPr>
        <w:numPr>
          <w:ilvl w:val="0"/>
          <w:numId w:val="6"/>
        </w:numPr>
        <w:autoSpaceDE w:val="0"/>
        <w:autoSpaceDN w:val="0"/>
        <w:adjustRightInd w:val="0"/>
        <w:spacing w:after="0" w:line="276" w:lineRule="auto"/>
        <w:rPr>
          <w:rFonts w:ascii="Georgia" w:hAnsi="Georgia" w:cs="Arial"/>
          <w:sz w:val="20"/>
          <w:szCs w:val="20"/>
        </w:rPr>
      </w:pPr>
      <w:r w:rsidRPr="00FF1BB6">
        <w:rPr>
          <w:rFonts w:ascii="Georgia" w:hAnsi="Georgia" w:cs="Arial"/>
          <w:sz w:val="20"/>
          <w:szCs w:val="20"/>
        </w:rPr>
        <w:t>Impacts of climate change (see climate adaptation strategy)</w:t>
      </w:r>
    </w:p>
    <w:p w14:paraId="1A02B117" w14:textId="77777777" w:rsidR="00811E7A" w:rsidRPr="00FF1BB6" w:rsidRDefault="00811E7A" w:rsidP="00811E7A">
      <w:pPr>
        <w:numPr>
          <w:ilvl w:val="0"/>
          <w:numId w:val="6"/>
        </w:numPr>
        <w:autoSpaceDE w:val="0"/>
        <w:autoSpaceDN w:val="0"/>
        <w:adjustRightInd w:val="0"/>
        <w:spacing w:after="0" w:line="276" w:lineRule="auto"/>
        <w:rPr>
          <w:rFonts w:ascii="Georgia" w:hAnsi="Georgia" w:cs="Arial"/>
          <w:sz w:val="20"/>
          <w:szCs w:val="20"/>
        </w:rPr>
      </w:pPr>
      <w:r w:rsidRPr="00FF1BB6">
        <w:rPr>
          <w:rFonts w:ascii="Georgia" w:hAnsi="Georgia" w:cs="Arial"/>
          <w:sz w:val="20"/>
          <w:szCs w:val="20"/>
        </w:rPr>
        <w:t>Invasive Alien Species (see trilateral IAS Strategy, upcoming EU Directive on Alien Species)</w:t>
      </w:r>
    </w:p>
    <w:p w14:paraId="74507680" w14:textId="77777777" w:rsidR="00811E7A" w:rsidRPr="00FF1BB6" w:rsidRDefault="00811E7A" w:rsidP="00811E7A">
      <w:pPr>
        <w:numPr>
          <w:ilvl w:val="0"/>
          <w:numId w:val="6"/>
        </w:numPr>
        <w:autoSpaceDE w:val="0"/>
        <w:autoSpaceDN w:val="0"/>
        <w:adjustRightInd w:val="0"/>
        <w:spacing w:after="0" w:line="276" w:lineRule="auto"/>
        <w:rPr>
          <w:rFonts w:ascii="Georgia" w:hAnsi="Georgia" w:cs="Arial"/>
          <w:sz w:val="20"/>
          <w:szCs w:val="20"/>
        </w:rPr>
      </w:pPr>
      <w:r w:rsidRPr="00FF1BB6">
        <w:rPr>
          <w:rFonts w:ascii="Georgia" w:hAnsi="Georgia" w:cs="Arial"/>
          <w:sz w:val="20"/>
          <w:szCs w:val="20"/>
        </w:rPr>
        <w:t>HD (Habitat types with unknown status, especially sublittoral), MSFD (Wadden Sea relevant descriptors), WHS</w:t>
      </w:r>
    </w:p>
    <w:p w14:paraId="4DDF00B7" w14:textId="77777777" w:rsidR="00811E7A" w:rsidRDefault="00811E7A" w:rsidP="00811E7A">
      <w:pPr>
        <w:numPr>
          <w:ilvl w:val="0"/>
          <w:numId w:val="6"/>
        </w:numPr>
        <w:autoSpaceDE w:val="0"/>
        <w:autoSpaceDN w:val="0"/>
        <w:adjustRightInd w:val="0"/>
        <w:spacing w:after="0" w:line="276" w:lineRule="auto"/>
        <w:rPr>
          <w:rFonts w:ascii="Georgia" w:hAnsi="Georgia" w:cs="Arial"/>
          <w:sz w:val="20"/>
          <w:szCs w:val="20"/>
        </w:rPr>
      </w:pPr>
      <w:r w:rsidRPr="00AC3C92">
        <w:rPr>
          <w:rFonts w:ascii="Georgia" w:hAnsi="Georgia" w:cs="Arial"/>
          <w:sz w:val="20"/>
          <w:szCs w:val="20"/>
        </w:rPr>
        <w:t>Sustainable human use</w:t>
      </w:r>
      <w:r>
        <w:rPr>
          <w:rFonts w:ascii="Georgia" w:hAnsi="Georgia" w:cs="Arial"/>
          <w:sz w:val="20"/>
          <w:szCs w:val="20"/>
        </w:rPr>
        <w:t>, e.g. s</w:t>
      </w:r>
      <w:r w:rsidRPr="00AC3C92">
        <w:rPr>
          <w:rFonts w:ascii="Georgia" w:hAnsi="Georgia" w:cs="Arial"/>
          <w:sz w:val="20"/>
          <w:szCs w:val="20"/>
        </w:rPr>
        <w:t>hipping</w:t>
      </w:r>
    </w:p>
    <w:p w14:paraId="7F2B3BD3" w14:textId="77777777" w:rsidR="00811E7A" w:rsidRDefault="00811E7A" w:rsidP="00811E7A">
      <w:pPr>
        <w:numPr>
          <w:ilvl w:val="0"/>
          <w:numId w:val="6"/>
        </w:numPr>
        <w:autoSpaceDE w:val="0"/>
        <w:autoSpaceDN w:val="0"/>
        <w:adjustRightInd w:val="0"/>
        <w:spacing w:after="0" w:line="276" w:lineRule="auto"/>
        <w:rPr>
          <w:rFonts w:ascii="Georgia" w:hAnsi="Georgia" w:cs="Arial"/>
          <w:sz w:val="20"/>
          <w:szCs w:val="20"/>
        </w:rPr>
      </w:pPr>
      <w:r>
        <w:rPr>
          <w:rFonts w:ascii="Georgia" w:hAnsi="Georgia" w:cs="Arial"/>
          <w:sz w:val="20"/>
          <w:szCs w:val="20"/>
        </w:rPr>
        <w:t>Marine litter</w:t>
      </w:r>
    </w:p>
    <w:p w14:paraId="38A31B91" w14:textId="77777777" w:rsidR="00811E7A" w:rsidRPr="00AC3C92" w:rsidRDefault="00811E7A" w:rsidP="00811E7A">
      <w:pPr>
        <w:numPr>
          <w:ilvl w:val="0"/>
          <w:numId w:val="6"/>
        </w:numPr>
        <w:autoSpaceDE w:val="0"/>
        <w:autoSpaceDN w:val="0"/>
        <w:adjustRightInd w:val="0"/>
        <w:spacing w:after="0" w:line="276" w:lineRule="auto"/>
        <w:rPr>
          <w:rFonts w:ascii="Georgia" w:hAnsi="Georgia" w:cs="Arial"/>
          <w:sz w:val="20"/>
          <w:szCs w:val="20"/>
        </w:rPr>
      </w:pPr>
      <w:r>
        <w:rPr>
          <w:rFonts w:ascii="Georgia" w:hAnsi="Georgia" w:cs="Arial"/>
          <w:sz w:val="20"/>
          <w:szCs w:val="20"/>
        </w:rPr>
        <w:t>New pollutants (e.g. antibiotics)</w:t>
      </w:r>
    </w:p>
    <w:p w14:paraId="646564B6" w14:textId="77777777" w:rsidR="00811E7A" w:rsidRPr="00FF1BB6" w:rsidRDefault="00811E7A" w:rsidP="00811E7A">
      <w:pPr>
        <w:autoSpaceDE w:val="0"/>
        <w:autoSpaceDN w:val="0"/>
        <w:adjustRightInd w:val="0"/>
        <w:spacing w:line="276" w:lineRule="auto"/>
        <w:rPr>
          <w:rFonts w:ascii="Georgia" w:hAnsi="Georgia" w:cs="Arial"/>
          <w:sz w:val="20"/>
          <w:szCs w:val="20"/>
        </w:rPr>
      </w:pPr>
    </w:p>
    <w:p w14:paraId="20D58E8F" w14:textId="77777777" w:rsidR="00811E7A" w:rsidRPr="00FF1BB6" w:rsidRDefault="00811E7A" w:rsidP="00811E7A">
      <w:pPr>
        <w:tabs>
          <w:tab w:val="left" w:pos="-1416"/>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Georgia" w:hAnsi="Georgia" w:cs="Arial"/>
          <w:sz w:val="20"/>
          <w:szCs w:val="20"/>
        </w:rPr>
      </w:pPr>
      <w:r w:rsidRPr="00FF1BB6">
        <w:rPr>
          <w:rFonts w:ascii="Georgia" w:hAnsi="Georgia" w:cs="Arial"/>
          <w:sz w:val="20"/>
          <w:szCs w:val="20"/>
        </w:rPr>
        <w:t xml:space="preserve">Proposal for new or amended parameters and methodologies will be </w:t>
      </w:r>
      <w:r>
        <w:rPr>
          <w:rFonts w:ascii="Georgia" w:hAnsi="Georgia" w:cs="Arial"/>
          <w:sz w:val="20"/>
          <w:szCs w:val="20"/>
        </w:rPr>
        <w:t>coordinated by TG-MA in close cooperation with the trilateral expert and task groups and in a series of meetings and workshops, also considering</w:t>
      </w:r>
      <w:r w:rsidRPr="00FF1BB6">
        <w:rPr>
          <w:rFonts w:ascii="Georgia" w:hAnsi="Georgia" w:cs="Arial"/>
          <w:sz w:val="20"/>
          <w:szCs w:val="20"/>
        </w:rPr>
        <w:t xml:space="preserve"> input from relevant research and monitoring projects. </w:t>
      </w:r>
    </w:p>
    <w:p w14:paraId="3BCAC1C4" w14:textId="77777777" w:rsidR="00811E7A" w:rsidRPr="00FF1BB6" w:rsidRDefault="00811E7A" w:rsidP="00811E7A">
      <w:pPr>
        <w:tabs>
          <w:tab w:val="left" w:pos="-1416"/>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Georgia" w:hAnsi="Georgia" w:cs="Arial"/>
          <w:sz w:val="20"/>
          <w:szCs w:val="20"/>
        </w:rPr>
      </w:pPr>
      <w:r w:rsidRPr="00FF1BB6">
        <w:rPr>
          <w:rFonts w:ascii="Georgia" w:hAnsi="Georgia" w:cs="Arial"/>
          <w:sz w:val="20"/>
          <w:szCs w:val="20"/>
        </w:rPr>
        <w:lastRenderedPageBreak/>
        <w:t>Generally, the following procedure will be applied when adapting the TMAP:</w:t>
      </w:r>
    </w:p>
    <w:p w14:paraId="6C78506C" w14:textId="77777777" w:rsidR="00811E7A" w:rsidRPr="00AC3C92" w:rsidRDefault="00811E7A" w:rsidP="00811E7A">
      <w:pPr>
        <w:pStyle w:val="Listenabsatz"/>
        <w:numPr>
          <w:ilvl w:val="0"/>
          <w:numId w:val="16"/>
        </w:numPr>
        <w:tabs>
          <w:tab w:val="left" w:pos="-1416"/>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Georgia" w:hAnsi="Georgia" w:cs="Arial"/>
          <w:sz w:val="20"/>
          <w:szCs w:val="20"/>
        </w:rPr>
      </w:pPr>
      <w:r w:rsidRPr="00AC3C92">
        <w:rPr>
          <w:rFonts w:ascii="Georgia" w:hAnsi="Georgia" w:cs="Arial"/>
          <w:sz w:val="20"/>
          <w:szCs w:val="20"/>
        </w:rPr>
        <w:t xml:space="preserve">Investigate to what extent relevant information regarding the future challenges can be collected through the existing TMAP </w:t>
      </w:r>
      <w:proofErr w:type="gramStart"/>
      <w:r w:rsidRPr="00AC3C92">
        <w:rPr>
          <w:rFonts w:ascii="Georgia" w:hAnsi="Georgia" w:cs="Arial"/>
          <w:sz w:val="20"/>
          <w:szCs w:val="20"/>
        </w:rPr>
        <w:t>parameters;</w:t>
      </w:r>
      <w:proofErr w:type="gramEnd"/>
      <w:r w:rsidRPr="00AC3C92">
        <w:rPr>
          <w:rFonts w:ascii="Georgia" w:hAnsi="Georgia" w:cs="Arial"/>
          <w:sz w:val="20"/>
          <w:szCs w:val="20"/>
        </w:rPr>
        <w:t xml:space="preserve"> </w:t>
      </w:r>
    </w:p>
    <w:p w14:paraId="5EB21F5E" w14:textId="77777777" w:rsidR="00811E7A" w:rsidRPr="00AC3C92" w:rsidRDefault="00811E7A" w:rsidP="00811E7A">
      <w:pPr>
        <w:pStyle w:val="Listenabsatz"/>
        <w:numPr>
          <w:ilvl w:val="0"/>
          <w:numId w:val="16"/>
        </w:numPr>
        <w:tabs>
          <w:tab w:val="left" w:pos="-1416"/>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Georgia" w:hAnsi="Georgia" w:cs="Arial"/>
          <w:sz w:val="20"/>
          <w:szCs w:val="20"/>
        </w:rPr>
      </w:pPr>
      <w:r w:rsidRPr="00AC3C92">
        <w:rPr>
          <w:rFonts w:ascii="Georgia" w:hAnsi="Georgia" w:cs="Arial"/>
          <w:sz w:val="20"/>
          <w:szCs w:val="20"/>
        </w:rPr>
        <w:t xml:space="preserve">Investigate the integration of additional measuring needs in existing and </w:t>
      </w:r>
      <w:proofErr w:type="spellStart"/>
      <w:r w:rsidRPr="00AC3C92">
        <w:rPr>
          <w:rFonts w:ascii="Georgia" w:hAnsi="Georgia" w:cs="Arial"/>
          <w:sz w:val="20"/>
          <w:szCs w:val="20"/>
        </w:rPr>
        <w:t>optimised</w:t>
      </w:r>
      <w:proofErr w:type="spellEnd"/>
      <w:r w:rsidRPr="00AC3C92">
        <w:rPr>
          <w:rFonts w:ascii="Georgia" w:hAnsi="Georgia" w:cs="Arial"/>
          <w:sz w:val="20"/>
          <w:szCs w:val="20"/>
        </w:rPr>
        <w:t xml:space="preserve"> measuring methodologies and practices (for example combining the screening for alien species with running mussel bed monitoring)</w:t>
      </w:r>
    </w:p>
    <w:p w14:paraId="726A34C8" w14:textId="77777777" w:rsidR="00811E7A" w:rsidRPr="00AC3C92" w:rsidRDefault="00811E7A" w:rsidP="00811E7A">
      <w:pPr>
        <w:pStyle w:val="Listenabsatz"/>
        <w:numPr>
          <w:ilvl w:val="0"/>
          <w:numId w:val="16"/>
        </w:numPr>
        <w:tabs>
          <w:tab w:val="left" w:pos="-1416"/>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Georgia" w:hAnsi="Georgia" w:cs="Arial"/>
          <w:sz w:val="20"/>
          <w:szCs w:val="20"/>
        </w:rPr>
      </w:pPr>
      <w:r w:rsidRPr="00AC3C92">
        <w:rPr>
          <w:rFonts w:ascii="Georgia" w:hAnsi="Georgia" w:cs="Arial"/>
          <w:sz w:val="20"/>
          <w:szCs w:val="20"/>
        </w:rPr>
        <w:t xml:space="preserve">Investigate the application of intelligent methodologies for data evaluation, such as modelling and the application of tidal basins comparisons. </w:t>
      </w:r>
    </w:p>
    <w:p w14:paraId="6F77E27A" w14:textId="77777777" w:rsidR="00811E7A" w:rsidRDefault="00811E7A" w:rsidP="00811E7A">
      <w:pPr>
        <w:pStyle w:val="Listenabsatz"/>
        <w:numPr>
          <w:ilvl w:val="0"/>
          <w:numId w:val="16"/>
        </w:numPr>
        <w:tabs>
          <w:tab w:val="left" w:pos="-1416"/>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Georgia" w:hAnsi="Georgia" w:cs="Arial"/>
          <w:sz w:val="20"/>
          <w:szCs w:val="20"/>
        </w:rPr>
      </w:pPr>
      <w:r w:rsidRPr="00AC3C92">
        <w:rPr>
          <w:rFonts w:ascii="Georgia" w:hAnsi="Georgia" w:cs="Arial"/>
          <w:sz w:val="20"/>
          <w:szCs w:val="20"/>
        </w:rPr>
        <w:t xml:space="preserve">Investigate the necessity and feasibility of introducing new parameters, including </w:t>
      </w:r>
      <w:proofErr w:type="spellStart"/>
      <w:r w:rsidRPr="00AC3C92">
        <w:rPr>
          <w:rFonts w:ascii="Georgia" w:hAnsi="Georgia" w:cs="Arial"/>
          <w:sz w:val="20"/>
          <w:szCs w:val="20"/>
        </w:rPr>
        <w:t>organisational</w:t>
      </w:r>
      <w:proofErr w:type="spellEnd"/>
      <w:r w:rsidRPr="00AC3C92">
        <w:rPr>
          <w:rFonts w:ascii="Georgia" w:hAnsi="Georgia" w:cs="Arial"/>
          <w:sz w:val="20"/>
          <w:szCs w:val="20"/>
        </w:rPr>
        <w:t xml:space="preserve"> and financial arrangements. This must include investigating the application of technologies such as remote sensing.</w:t>
      </w:r>
    </w:p>
    <w:p w14:paraId="65384C0B" w14:textId="77777777" w:rsidR="00811E7A" w:rsidRPr="00AC3C92" w:rsidRDefault="00811E7A" w:rsidP="00811E7A">
      <w:pPr>
        <w:pStyle w:val="Listenabsatz"/>
        <w:numPr>
          <w:ilvl w:val="0"/>
          <w:numId w:val="16"/>
        </w:numPr>
        <w:tabs>
          <w:tab w:val="left" w:pos="-1416"/>
          <w:tab w:val="left" w:pos="-72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s>
        <w:spacing w:line="276" w:lineRule="auto"/>
        <w:rPr>
          <w:rFonts w:ascii="Georgia" w:hAnsi="Georgia" w:cs="Arial"/>
          <w:sz w:val="20"/>
          <w:szCs w:val="20"/>
        </w:rPr>
      </w:pPr>
      <w:r>
        <w:rPr>
          <w:rFonts w:ascii="Georgia" w:hAnsi="Georgia" w:cs="Arial"/>
          <w:sz w:val="20"/>
          <w:szCs w:val="20"/>
        </w:rPr>
        <w:t>Assess the parameter suite regarding the criteria and key values defining the Outstanding Universal Value (OUV).</w:t>
      </w:r>
    </w:p>
    <w:p w14:paraId="3BCA273A" w14:textId="77777777" w:rsidR="00811E7A" w:rsidRPr="00FF1BB6" w:rsidRDefault="00811E7A" w:rsidP="00811E7A">
      <w:pPr>
        <w:autoSpaceDE w:val="0"/>
        <w:autoSpaceDN w:val="0"/>
        <w:adjustRightInd w:val="0"/>
        <w:spacing w:line="276" w:lineRule="auto"/>
        <w:rPr>
          <w:rFonts w:ascii="Georgia" w:hAnsi="Georgia" w:cs="Arial"/>
          <w:sz w:val="20"/>
          <w:szCs w:val="20"/>
        </w:rPr>
      </w:pPr>
    </w:p>
    <w:p w14:paraId="554F9EC1" w14:textId="77777777" w:rsidR="00811E7A" w:rsidRPr="00B34C09" w:rsidRDefault="00811E7A" w:rsidP="00811E7A">
      <w:pPr>
        <w:autoSpaceDE w:val="0"/>
        <w:autoSpaceDN w:val="0"/>
        <w:adjustRightInd w:val="0"/>
        <w:spacing w:line="276" w:lineRule="auto"/>
        <w:rPr>
          <w:rFonts w:ascii="Georgia" w:hAnsi="Georgia" w:cs="Arial"/>
          <w:sz w:val="20"/>
          <w:szCs w:val="20"/>
        </w:rPr>
      </w:pPr>
      <w:r w:rsidRPr="00FF1BB6">
        <w:rPr>
          <w:rFonts w:ascii="Georgia" w:hAnsi="Georgia" w:cs="Arial"/>
          <w:sz w:val="20"/>
          <w:szCs w:val="20"/>
        </w:rPr>
        <w:t xml:space="preserve">This will be done in close cooperation with the scientific community amongst others by organising </w:t>
      </w:r>
      <w:r>
        <w:rPr>
          <w:rFonts w:ascii="Georgia" w:hAnsi="Georgia" w:cs="Arial"/>
          <w:sz w:val="20"/>
          <w:szCs w:val="20"/>
        </w:rPr>
        <w:t>I</w:t>
      </w:r>
      <w:r w:rsidRPr="00FF1BB6">
        <w:rPr>
          <w:rFonts w:ascii="Georgia" w:hAnsi="Georgia" w:cs="Arial"/>
          <w:sz w:val="20"/>
          <w:szCs w:val="20"/>
        </w:rPr>
        <w:t xml:space="preserve">nternational </w:t>
      </w:r>
      <w:r>
        <w:rPr>
          <w:rFonts w:ascii="Georgia" w:hAnsi="Georgia" w:cs="Arial"/>
          <w:sz w:val="20"/>
          <w:szCs w:val="20"/>
        </w:rPr>
        <w:t xml:space="preserve">Scientific </w:t>
      </w:r>
      <w:r w:rsidRPr="00FF1BB6">
        <w:rPr>
          <w:rFonts w:ascii="Georgia" w:hAnsi="Georgia" w:cs="Arial"/>
          <w:sz w:val="20"/>
          <w:szCs w:val="20"/>
        </w:rPr>
        <w:t xml:space="preserve">Wadden Sea </w:t>
      </w:r>
      <w:r>
        <w:rPr>
          <w:rFonts w:ascii="Georgia" w:hAnsi="Georgia" w:cs="Arial"/>
          <w:sz w:val="20"/>
          <w:szCs w:val="20"/>
        </w:rPr>
        <w:t>S</w:t>
      </w:r>
      <w:r w:rsidRPr="00FF1BB6">
        <w:rPr>
          <w:rFonts w:ascii="Georgia" w:hAnsi="Georgia" w:cs="Arial"/>
          <w:sz w:val="20"/>
          <w:szCs w:val="20"/>
        </w:rPr>
        <w:t>ymposia</w:t>
      </w:r>
      <w:r>
        <w:rPr>
          <w:rFonts w:ascii="Georgia" w:hAnsi="Georgia" w:cs="Arial"/>
          <w:sz w:val="20"/>
          <w:szCs w:val="20"/>
        </w:rPr>
        <w:t xml:space="preserve"> (ISWSS)</w:t>
      </w:r>
      <w:r w:rsidRPr="00FF1BB6">
        <w:rPr>
          <w:rFonts w:ascii="Georgia" w:hAnsi="Georgia" w:cs="Arial"/>
          <w:sz w:val="20"/>
          <w:szCs w:val="20"/>
        </w:rPr>
        <w:t xml:space="preserve"> at regular intervals. </w:t>
      </w:r>
    </w:p>
    <w:p w14:paraId="6A8A4547" w14:textId="77777777" w:rsidR="00811E7A" w:rsidRPr="00672C56" w:rsidRDefault="00811E7A" w:rsidP="00811E7A">
      <w:pPr>
        <w:autoSpaceDE w:val="0"/>
        <w:autoSpaceDN w:val="0"/>
        <w:adjustRightInd w:val="0"/>
        <w:spacing w:line="276" w:lineRule="auto"/>
        <w:rPr>
          <w:rFonts w:ascii="Georgia" w:hAnsi="Georgia" w:cs="Arial"/>
          <w:bCs/>
          <w:sz w:val="20"/>
          <w:szCs w:val="20"/>
          <w:u w:val="single"/>
        </w:rPr>
      </w:pPr>
      <w:r w:rsidRPr="00672C56">
        <w:rPr>
          <w:rFonts w:ascii="Georgia" w:hAnsi="Georgia" w:cs="Arial"/>
          <w:bCs/>
          <w:sz w:val="20"/>
          <w:szCs w:val="20"/>
          <w:u w:val="single"/>
        </w:rPr>
        <w:t>Trilateral data</w:t>
      </w:r>
      <w:r>
        <w:rPr>
          <w:rFonts w:ascii="Georgia" w:hAnsi="Georgia" w:cs="Arial"/>
          <w:bCs/>
          <w:sz w:val="20"/>
          <w:szCs w:val="20"/>
          <w:u w:val="single"/>
        </w:rPr>
        <w:t xml:space="preserve"> handling</w:t>
      </w:r>
      <w:r w:rsidRPr="00672C56">
        <w:rPr>
          <w:rFonts w:ascii="Georgia" w:hAnsi="Georgia" w:cs="Arial"/>
          <w:bCs/>
          <w:sz w:val="20"/>
          <w:szCs w:val="20"/>
          <w:u w:val="single"/>
        </w:rPr>
        <w:t xml:space="preserve"> and presentation</w:t>
      </w:r>
      <w:r>
        <w:rPr>
          <w:rFonts w:ascii="Georgia" w:hAnsi="Georgia" w:cs="Arial"/>
          <w:bCs/>
          <w:sz w:val="20"/>
          <w:szCs w:val="20"/>
          <w:u w:val="single"/>
        </w:rPr>
        <w:t>:</w:t>
      </w:r>
    </w:p>
    <w:p w14:paraId="55909599" w14:textId="77777777" w:rsidR="00811E7A" w:rsidRPr="00FF1BB6" w:rsidRDefault="00811E7A" w:rsidP="00811E7A">
      <w:pPr>
        <w:spacing w:line="276" w:lineRule="auto"/>
        <w:rPr>
          <w:rFonts w:ascii="Georgia" w:hAnsi="Georgia" w:cs="Arial"/>
          <w:sz w:val="20"/>
          <w:szCs w:val="20"/>
        </w:rPr>
      </w:pPr>
      <w:r>
        <w:rPr>
          <w:rFonts w:ascii="Georgia" w:hAnsi="Georgia" w:cs="Arial"/>
          <w:sz w:val="20"/>
          <w:szCs w:val="20"/>
        </w:rPr>
        <w:t>T</w:t>
      </w:r>
      <w:r w:rsidRPr="00FF1BB6">
        <w:rPr>
          <w:rFonts w:ascii="Georgia" w:hAnsi="Georgia" w:cs="Arial"/>
          <w:sz w:val="20"/>
          <w:szCs w:val="20"/>
        </w:rPr>
        <w:t xml:space="preserve">he TMAP data units used so far were designed to delivering harmonized raw TMAP data for scientists and the QSR. </w:t>
      </w:r>
      <w:proofErr w:type="gramStart"/>
      <w:r w:rsidRPr="00FF1BB6">
        <w:rPr>
          <w:rFonts w:ascii="Georgia" w:hAnsi="Georgia" w:cs="Arial"/>
          <w:sz w:val="20"/>
          <w:szCs w:val="20"/>
        </w:rPr>
        <w:t>In order to</w:t>
      </w:r>
      <w:proofErr w:type="gramEnd"/>
      <w:r w:rsidRPr="00FF1BB6">
        <w:rPr>
          <w:rFonts w:ascii="Georgia" w:hAnsi="Georgia" w:cs="Arial"/>
          <w:sz w:val="20"/>
          <w:szCs w:val="20"/>
        </w:rPr>
        <w:t xml:space="preserve"> increase the value of the TMAP for a wider audience a modern and central information system</w:t>
      </w:r>
      <w:r>
        <w:rPr>
          <w:rFonts w:ascii="Georgia" w:hAnsi="Georgia" w:cs="Arial"/>
          <w:sz w:val="20"/>
          <w:szCs w:val="20"/>
        </w:rPr>
        <w:t xml:space="preserve"> should be installed. This interface should guarantee information supply on expert level for QSR activities but also condensed information an appealing format.</w:t>
      </w:r>
      <w:r w:rsidRPr="00FF1BB6">
        <w:rPr>
          <w:rFonts w:ascii="Georgia" w:hAnsi="Georgia" w:cs="Arial"/>
          <w:sz w:val="20"/>
          <w:szCs w:val="20"/>
        </w:rPr>
        <w:t xml:space="preserve"> The information system will allow users to work with the data in different ways. Scientists will have more selection, </w:t>
      </w:r>
      <w:proofErr w:type="gramStart"/>
      <w:r w:rsidRPr="00FF1BB6">
        <w:rPr>
          <w:rFonts w:ascii="Georgia" w:hAnsi="Georgia" w:cs="Arial"/>
          <w:sz w:val="20"/>
          <w:szCs w:val="20"/>
        </w:rPr>
        <w:t>processing</w:t>
      </w:r>
      <w:proofErr w:type="gramEnd"/>
      <w:r w:rsidRPr="00FF1BB6">
        <w:rPr>
          <w:rFonts w:ascii="Georgia" w:hAnsi="Georgia" w:cs="Arial"/>
          <w:sz w:val="20"/>
          <w:szCs w:val="20"/>
        </w:rPr>
        <w:t xml:space="preserve"> and presentation possibilities than the public. A more simplified and understandable TMAP data presentations will attract public, students and persons, who are not that familiar with the Wadden Sea.</w:t>
      </w:r>
    </w:p>
    <w:p w14:paraId="16AD3818" w14:textId="77777777" w:rsidR="00AA4D66" w:rsidRDefault="00811E7A" w:rsidP="00811E7A">
      <w:pPr>
        <w:autoSpaceDE w:val="0"/>
        <w:autoSpaceDN w:val="0"/>
        <w:adjustRightInd w:val="0"/>
        <w:spacing w:line="276" w:lineRule="auto"/>
        <w:rPr>
          <w:rFonts w:ascii="Georgia" w:hAnsi="Georgia" w:cs="Arial"/>
          <w:sz w:val="20"/>
          <w:szCs w:val="20"/>
        </w:rPr>
        <w:sectPr w:rsidR="00AA4D66" w:rsidSect="00DE25A8">
          <w:headerReference w:type="default" r:id="rId8"/>
          <w:pgSz w:w="11906" w:h="16838"/>
          <w:pgMar w:top="1418" w:right="1418" w:bottom="1134" w:left="1418" w:header="709" w:footer="709" w:gutter="0"/>
          <w:cols w:space="708"/>
          <w:docGrid w:linePitch="360"/>
        </w:sectPr>
      </w:pPr>
      <w:r w:rsidRPr="00FF1BB6">
        <w:rPr>
          <w:rFonts w:ascii="Georgia" w:hAnsi="Georgia" w:cs="Arial"/>
          <w:sz w:val="20"/>
          <w:szCs w:val="20"/>
        </w:rPr>
        <w:t xml:space="preserve">The data-handling aspect will be reviewed also in order to cooperate and look for the best synergy to contribute to international reporting as well as publication obligations, f. e. from the Directive 2007/2/EC establishing an Infrastructure for Spatial Information in the European Community (INSPIRE) or the Directive 2003/4/EC on public access to environmental information. Data of the four TMAP databases in the countries will be collected in a centralized data warehouse, where state-of the-art software allows selection, </w:t>
      </w:r>
      <w:proofErr w:type="gramStart"/>
      <w:r w:rsidRPr="00FF1BB6">
        <w:rPr>
          <w:rFonts w:ascii="Georgia" w:hAnsi="Georgia" w:cs="Arial"/>
          <w:sz w:val="20"/>
          <w:szCs w:val="20"/>
        </w:rPr>
        <w:t>processing</w:t>
      </w:r>
      <w:proofErr w:type="gramEnd"/>
      <w:r w:rsidRPr="00FF1BB6">
        <w:rPr>
          <w:rFonts w:ascii="Georgia" w:hAnsi="Georgia" w:cs="Arial"/>
          <w:sz w:val="20"/>
          <w:szCs w:val="20"/>
        </w:rPr>
        <w:t xml:space="preserve"> and presentation of TMAP data. </w:t>
      </w:r>
      <w:r>
        <w:rPr>
          <w:rFonts w:ascii="Georgia" w:hAnsi="Georgia" w:cs="Arial"/>
          <w:sz w:val="20"/>
          <w:szCs w:val="20"/>
        </w:rPr>
        <w:t>The potential of existing programmes and data portals in the three countries as additional data and information sources will be explored for an effective approach.</w:t>
      </w:r>
    </w:p>
    <w:p w14:paraId="26C8027F" w14:textId="4AC914E2" w:rsidR="00811E7A" w:rsidRDefault="00BE5026" w:rsidP="00811E7A">
      <w:pPr>
        <w:autoSpaceDE w:val="0"/>
        <w:autoSpaceDN w:val="0"/>
        <w:adjustRightInd w:val="0"/>
        <w:spacing w:line="276" w:lineRule="auto"/>
        <w:rPr>
          <w:rFonts w:ascii="Georgia" w:hAnsi="Georgia" w:cs="Arial"/>
          <w:sz w:val="20"/>
          <w:szCs w:val="20"/>
        </w:rPr>
      </w:pPr>
      <w:r>
        <w:rPr>
          <w:rFonts w:ascii="Georgia" w:hAnsi="Georgia" w:cs="Arial"/>
          <w:noProof/>
          <w:sz w:val="20"/>
          <w:szCs w:val="20"/>
        </w:rPr>
        <w:lastRenderedPageBreak/>
        <w:drawing>
          <wp:anchor distT="0" distB="0" distL="114300" distR="114300" simplePos="0" relativeHeight="251659264" behindDoc="0" locked="0" layoutInCell="1" allowOverlap="1" wp14:anchorId="4588E4EB" wp14:editId="2CABFCF9">
            <wp:simplePos x="0" y="0"/>
            <wp:positionH relativeFrom="column">
              <wp:posOffset>166496</wp:posOffset>
            </wp:positionH>
            <wp:positionV relativeFrom="paragraph">
              <wp:posOffset>145353</wp:posOffset>
            </wp:positionV>
            <wp:extent cx="9587986" cy="3313248"/>
            <wp:effectExtent l="0" t="0" r="0" b="1905"/>
            <wp:wrapNone/>
            <wp:docPr id="3" name="Grafik 3" descr="Ein Bild, das Screensho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TMAP and QSR (20-07-17).png"/>
                    <pic:cNvPicPr/>
                  </pic:nvPicPr>
                  <pic:blipFill rotWithShape="1">
                    <a:blip r:embed="rId9" cstate="print">
                      <a:extLst>
                        <a:ext uri="{28A0092B-C50C-407E-A947-70E740481C1C}">
                          <a14:useLocalDpi xmlns:a14="http://schemas.microsoft.com/office/drawing/2010/main" val="0"/>
                        </a:ext>
                      </a:extLst>
                    </a:blip>
                    <a:srcRect l="4704" r="3524" b="16750"/>
                    <a:stretch/>
                  </pic:blipFill>
                  <pic:spPr bwMode="auto">
                    <a:xfrm>
                      <a:off x="0" y="0"/>
                      <a:ext cx="9602844" cy="3318383"/>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79ABB17C" w14:textId="789DAF3B" w:rsidR="00B34C09" w:rsidRDefault="00B34C09" w:rsidP="00031F7C">
      <w:pPr>
        <w:autoSpaceDE w:val="0"/>
        <w:autoSpaceDN w:val="0"/>
        <w:adjustRightInd w:val="0"/>
        <w:spacing w:line="276" w:lineRule="auto"/>
        <w:rPr>
          <w:rFonts w:ascii="Georgia" w:hAnsi="Georgia" w:cs="Arial"/>
          <w:sz w:val="20"/>
          <w:szCs w:val="20"/>
        </w:rPr>
      </w:pPr>
    </w:p>
    <w:p w14:paraId="54587533" w14:textId="60950EA6" w:rsidR="006F2049" w:rsidRDefault="006F2049" w:rsidP="00031F7C">
      <w:pPr>
        <w:autoSpaceDE w:val="0"/>
        <w:autoSpaceDN w:val="0"/>
        <w:adjustRightInd w:val="0"/>
        <w:spacing w:line="276" w:lineRule="auto"/>
        <w:rPr>
          <w:rFonts w:ascii="Georgia" w:hAnsi="Georgia" w:cs="Arial"/>
          <w:sz w:val="20"/>
          <w:szCs w:val="20"/>
        </w:rPr>
      </w:pPr>
    </w:p>
    <w:p w14:paraId="515FF070" w14:textId="6897D55F" w:rsidR="006F2049" w:rsidRDefault="006F2049" w:rsidP="00031F7C">
      <w:pPr>
        <w:autoSpaceDE w:val="0"/>
        <w:autoSpaceDN w:val="0"/>
        <w:adjustRightInd w:val="0"/>
        <w:spacing w:line="276" w:lineRule="auto"/>
        <w:rPr>
          <w:rFonts w:ascii="Georgia" w:hAnsi="Georgia" w:cs="Arial"/>
          <w:sz w:val="20"/>
          <w:szCs w:val="20"/>
        </w:rPr>
      </w:pPr>
    </w:p>
    <w:p w14:paraId="23E191CD" w14:textId="1FA33BB8" w:rsidR="006F2049" w:rsidRDefault="006F2049" w:rsidP="00031F7C">
      <w:pPr>
        <w:autoSpaceDE w:val="0"/>
        <w:autoSpaceDN w:val="0"/>
        <w:adjustRightInd w:val="0"/>
        <w:spacing w:line="276" w:lineRule="auto"/>
        <w:rPr>
          <w:rFonts w:ascii="Georgia" w:hAnsi="Georgia" w:cs="Arial"/>
          <w:sz w:val="20"/>
          <w:szCs w:val="20"/>
        </w:rPr>
      </w:pPr>
    </w:p>
    <w:p w14:paraId="5436B7F1" w14:textId="523B77EF" w:rsidR="006F2049" w:rsidRDefault="006F2049" w:rsidP="00031F7C">
      <w:pPr>
        <w:autoSpaceDE w:val="0"/>
        <w:autoSpaceDN w:val="0"/>
        <w:adjustRightInd w:val="0"/>
        <w:spacing w:line="276" w:lineRule="auto"/>
        <w:rPr>
          <w:rFonts w:ascii="Georgia" w:hAnsi="Georgia" w:cs="Arial"/>
          <w:sz w:val="20"/>
          <w:szCs w:val="20"/>
        </w:rPr>
      </w:pPr>
    </w:p>
    <w:p w14:paraId="4E74EE6E" w14:textId="76EBCD4C" w:rsidR="006F2049" w:rsidRDefault="006F2049" w:rsidP="00031F7C">
      <w:pPr>
        <w:autoSpaceDE w:val="0"/>
        <w:autoSpaceDN w:val="0"/>
        <w:adjustRightInd w:val="0"/>
        <w:spacing w:line="276" w:lineRule="auto"/>
        <w:rPr>
          <w:rFonts w:ascii="Georgia" w:hAnsi="Georgia" w:cs="Arial"/>
          <w:sz w:val="20"/>
          <w:szCs w:val="20"/>
        </w:rPr>
      </w:pPr>
    </w:p>
    <w:p w14:paraId="4F2FC68F" w14:textId="76E12FCA" w:rsidR="006F2049" w:rsidRDefault="006F2049" w:rsidP="00031F7C">
      <w:pPr>
        <w:autoSpaceDE w:val="0"/>
        <w:autoSpaceDN w:val="0"/>
        <w:adjustRightInd w:val="0"/>
        <w:spacing w:line="276" w:lineRule="auto"/>
        <w:rPr>
          <w:rFonts w:ascii="Georgia" w:hAnsi="Georgia" w:cs="Arial"/>
          <w:sz w:val="20"/>
          <w:szCs w:val="20"/>
        </w:rPr>
      </w:pPr>
    </w:p>
    <w:p w14:paraId="37F36267" w14:textId="0F12D360" w:rsidR="006F2049" w:rsidRDefault="006F2049" w:rsidP="00031F7C">
      <w:pPr>
        <w:autoSpaceDE w:val="0"/>
        <w:autoSpaceDN w:val="0"/>
        <w:adjustRightInd w:val="0"/>
        <w:spacing w:line="276" w:lineRule="auto"/>
        <w:rPr>
          <w:rFonts w:ascii="Georgia" w:hAnsi="Georgia" w:cs="Arial"/>
          <w:sz w:val="20"/>
          <w:szCs w:val="20"/>
        </w:rPr>
      </w:pPr>
    </w:p>
    <w:p w14:paraId="6043C810" w14:textId="235F04E0" w:rsidR="006F2049" w:rsidRDefault="006F2049" w:rsidP="00031F7C">
      <w:pPr>
        <w:autoSpaceDE w:val="0"/>
        <w:autoSpaceDN w:val="0"/>
        <w:adjustRightInd w:val="0"/>
        <w:spacing w:line="276" w:lineRule="auto"/>
        <w:rPr>
          <w:rFonts w:ascii="Georgia" w:hAnsi="Georgia" w:cs="Arial"/>
          <w:sz w:val="20"/>
          <w:szCs w:val="20"/>
        </w:rPr>
      </w:pPr>
    </w:p>
    <w:p w14:paraId="0F4AD0E8" w14:textId="443D0B5B" w:rsidR="006F2049" w:rsidRDefault="006F2049" w:rsidP="00031F7C">
      <w:pPr>
        <w:autoSpaceDE w:val="0"/>
        <w:autoSpaceDN w:val="0"/>
        <w:adjustRightInd w:val="0"/>
        <w:spacing w:line="276" w:lineRule="auto"/>
        <w:rPr>
          <w:rFonts w:ascii="Georgia" w:hAnsi="Georgia" w:cs="Arial"/>
          <w:sz w:val="20"/>
          <w:szCs w:val="20"/>
        </w:rPr>
      </w:pPr>
    </w:p>
    <w:p w14:paraId="74E968F0" w14:textId="396BB8F2" w:rsidR="006F2049" w:rsidRDefault="006F2049" w:rsidP="00031F7C">
      <w:pPr>
        <w:autoSpaceDE w:val="0"/>
        <w:autoSpaceDN w:val="0"/>
        <w:adjustRightInd w:val="0"/>
        <w:spacing w:line="276" w:lineRule="auto"/>
        <w:rPr>
          <w:rFonts w:ascii="Georgia" w:hAnsi="Georgia" w:cs="Arial"/>
          <w:sz w:val="20"/>
          <w:szCs w:val="20"/>
        </w:rPr>
      </w:pPr>
    </w:p>
    <w:p w14:paraId="74A2FC32" w14:textId="2BB1F3AA" w:rsidR="006F2049" w:rsidRDefault="006F2049" w:rsidP="00031F7C">
      <w:pPr>
        <w:autoSpaceDE w:val="0"/>
        <w:autoSpaceDN w:val="0"/>
        <w:adjustRightInd w:val="0"/>
        <w:spacing w:line="276" w:lineRule="auto"/>
        <w:rPr>
          <w:rFonts w:ascii="Georgia" w:hAnsi="Georgia" w:cs="Arial"/>
          <w:sz w:val="20"/>
          <w:szCs w:val="20"/>
        </w:rPr>
      </w:pPr>
    </w:p>
    <w:p w14:paraId="64DD9101" w14:textId="2310C1CF" w:rsidR="006F2049" w:rsidRDefault="006F2049" w:rsidP="00031F7C">
      <w:pPr>
        <w:autoSpaceDE w:val="0"/>
        <w:autoSpaceDN w:val="0"/>
        <w:adjustRightInd w:val="0"/>
        <w:spacing w:line="276" w:lineRule="auto"/>
        <w:rPr>
          <w:rFonts w:ascii="Georgia" w:hAnsi="Georgia" w:cs="Arial"/>
          <w:sz w:val="20"/>
          <w:szCs w:val="20"/>
        </w:rPr>
      </w:pPr>
    </w:p>
    <w:p w14:paraId="54E7F1FF" w14:textId="08A9E642" w:rsidR="006F2049" w:rsidRPr="00FF1BB6" w:rsidRDefault="006F2049" w:rsidP="00031F7C">
      <w:pPr>
        <w:autoSpaceDE w:val="0"/>
        <w:autoSpaceDN w:val="0"/>
        <w:adjustRightInd w:val="0"/>
        <w:spacing w:line="276" w:lineRule="auto"/>
        <w:rPr>
          <w:rFonts w:ascii="Georgia" w:hAnsi="Georgia" w:cs="Arial"/>
          <w:sz w:val="20"/>
          <w:szCs w:val="20"/>
        </w:rPr>
      </w:pPr>
      <w:r w:rsidRPr="006F2049">
        <w:rPr>
          <w:rFonts w:ascii="Georgia" w:hAnsi="Georgia" w:cs="Arial"/>
          <w:b/>
          <w:bCs/>
          <w:sz w:val="20"/>
          <w:szCs w:val="20"/>
        </w:rPr>
        <w:t>Figure 1.</w:t>
      </w:r>
      <w:r>
        <w:rPr>
          <w:rFonts w:ascii="Georgia" w:hAnsi="Georgia" w:cs="Arial"/>
          <w:sz w:val="20"/>
          <w:szCs w:val="20"/>
        </w:rPr>
        <w:t xml:space="preserve"> The TMAP and QSR.</w:t>
      </w:r>
    </w:p>
    <w:sectPr w:rsidR="006F2049" w:rsidRPr="00FF1BB6" w:rsidSect="00BE5026">
      <w:pgSz w:w="16838" w:h="11906" w:orient="landscape"/>
      <w:pgMar w:top="720" w:right="720" w:bottom="720" w:left="720"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76348C9" w14:textId="77777777" w:rsidR="00C04355" w:rsidRDefault="00C04355" w:rsidP="004765FD">
      <w:pPr>
        <w:spacing w:after="0" w:line="240" w:lineRule="auto"/>
      </w:pPr>
      <w:r>
        <w:separator/>
      </w:r>
    </w:p>
  </w:endnote>
  <w:endnote w:type="continuationSeparator" w:id="0">
    <w:p w14:paraId="001F16C6" w14:textId="77777777" w:rsidR="00C04355" w:rsidRDefault="00C04355" w:rsidP="004765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6592DE" w14:textId="77777777" w:rsidR="00C04355" w:rsidRDefault="00C04355" w:rsidP="004765FD">
      <w:pPr>
        <w:spacing w:after="0" w:line="240" w:lineRule="auto"/>
      </w:pPr>
      <w:r>
        <w:separator/>
      </w:r>
    </w:p>
  </w:footnote>
  <w:footnote w:type="continuationSeparator" w:id="0">
    <w:p w14:paraId="3B766E3A" w14:textId="77777777" w:rsidR="00C04355" w:rsidRDefault="00C04355" w:rsidP="004765F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B0DCD28" w14:textId="22F6CC01" w:rsidR="00AF17C6" w:rsidRPr="00AF17C6" w:rsidRDefault="00AF17C6" w:rsidP="00AF17C6">
    <w:pPr>
      <w:pStyle w:val="Kopfzeile"/>
      <w:jc w:val="right"/>
      <w:rPr>
        <w:i/>
        <w:iCs/>
        <w:color w:val="808080" w:themeColor="background1" w:themeShade="80"/>
      </w:rPr>
    </w:pPr>
    <w:r w:rsidRPr="00AF17C6">
      <w:rPr>
        <w:i/>
        <w:iCs/>
        <w:color w:val="808080" w:themeColor="background1" w:themeShade="80"/>
      </w:rPr>
      <w:t>Draft document: TMAP and QSR</w:t>
    </w:r>
    <w:r w:rsidRPr="00AF17C6">
      <w:rPr>
        <w:i/>
        <w:iCs/>
        <w:color w:val="808080" w:themeColor="background1" w:themeShade="80"/>
      </w:rPr>
      <w:tab/>
      <w:t>31 July 2020</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7E1B36"/>
    <w:multiLevelType w:val="hybridMultilevel"/>
    <w:tmpl w:val="66C4037A"/>
    <w:lvl w:ilvl="0" w:tplc="2344351A">
      <w:start w:val="1"/>
      <w:numFmt w:val="decimal"/>
      <w:lvlText w:val="%1."/>
      <w:lvlJc w:val="left"/>
      <w:pPr>
        <w:tabs>
          <w:tab w:val="num" w:pos="1068"/>
        </w:tabs>
        <w:ind w:left="1068" w:hanging="360"/>
      </w:pPr>
      <w:rPr>
        <w:rFonts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041971E5"/>
    <w:multiLevelType w:val="hybridMultilevel"/>
    <w:tmpl w:val="46D0245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46F3EC8"/>
    <w:multiLevelType w:val="hybridMultilevel"/>
    <w:tmpl w:val="6A5EFF02"/>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3" w15:restartNumberingAfterBreak="0">
    <w:nsid w:val="053D29ED"/>
    <w:multiLevelType w:val="hybridMultilevel"/>
    <w:tmpl w:val="44B0A26C"/>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DC4FE7"/>
    <w:multiLevelType w:val="hybridMultilevel"/>
    <w:tmpl w:val="2FB6C75E"/>
    <w:lvl w:ilvl="0" w:tplc="925ECECE">
      <w:start w:val="1"/>
      <w:numFmt w:val="decimal"/>
      <w:lvlText w:val="%1."/>
      <w:lvlJc w:val="left"/>
      <w:pPr>
        <w:ind w:left="1068" w:hanging="360"/>
      </w:pPr>
      <w:rPr>
        <w:rFonts w:hint="default"/>
      </w:rPr>
    </w:lvl>
    <w:lvl w:ilvl="1" w:tplc="04070019" w:tentative="1">
      <w:start w:val="1"/>
      <w:numFmt w:val="lowerLetter"/>
      <w:lvlText w:val="%2."/>
      <w:lvlJc w:val="left"/>
      <w:pPr>
        <w:ind w:left="1788" w:hanging="360"/>
      </w:pPr>
    </w:lvl>
    <w:lvl w:ilvl="2" w:tplc="0407001B" w:tentative="1">
      <w:start w:val="1"/>
      <w:numFmt w:val="lowerRoman"/>
      <w:lvlText w:val="%3."/>
      <w:lvlJc w:val="right"/>
      <w:pPr>
        <w:ind w:left="2508" w:hanging="180"/>
      </w:pPr>
    </w:lvl>
    <w:lvl w:ilvl="3" w:tplc="0407000F" w:tentative="1">
      <w:start w:val="1"/>
      <w:numFmt w:val="decimal"/>
      <w:lvlText w:val="%4."/>
      <w:lvlJc w:val="left"/>
      <w:pPr>
        <w:ind w:left="3228" w:hanging="360"/>
      </w:pPr>
    </w:lvl>
    <w:lvl w:ilvl="4" w:tplc="04070019" w:tentative="1">
      <w:start w:val="1"/>
      <w:numFmt w:val="lowerLetter"/>
      <w:lvlText w:val="%5."/>
      <w:lvlJc w:val="left"/>
      <w:pPr>
        <w:ind w:left="3948" w:hanging="360"/>
      </w:pPr>
    </w:lvl>
    <w:lvl w:ilvl="5" w:tplc="0407001B" w:tentative="1">
      <w:start w:val="1"/>
      <w:numFmt w:val="lowerRoman"/>
      <w:lvlText w:val="%6."/>
      <w:lvlJc w:val="right"/>
      <w:pPr>
        <w:ind w:left="4668" w:hanging="180"/>
      </w:pPr>
    </w:lvl>
    <w:lvl w:ilvl="6" w:tplc="0407000F" w:tentative="1">
      <w:start w:val="1"/>
      <w:numFmt w:val="decimal"/>
      <w:lvlText w:val="%7."/>
      <w:lvlJc w:val="left"/>
      <w:pPr>
        <w:ind w:left="5388" w:hanging="360"/>
      </w:pPr>
    </w:lvl>
    <w:lvl w:ilvl="7" w:tplc="04070019" w:tentative="1">
      <w:start w:val="1"/>
      <w:numFmt w:val="lowerLetter"/>
      <w:lvlText w:val="%8."/>
      <w:lvlJc w:val="left"/>
      <w:pPr>
        <w:ind w:left="6108" w:hanging="360"/>
      </w:pPr>
    </w:lvl>
    <w:lvl w:ilvl="8" w:tplc="0407001B" w:tentative="1">
      <w:start w:val="1"/>
      <w:numFmt w:val="lowerRoman"/>
      <w:lvlText w:val="%9."/>
      <w:lvlJc w:val="right"/>
      <w:pPr>
        <w:ind w:left="6828" w:hanging="180"/>
      </w:pPr>
    </w:lvl>
  </w:abstractNum>
  <w:abstractNum w:abstractNumId="5" w15:restartNumberingAfterBreak="0">
    <w:nsid w:val="296B33FF"/>
    <w:multiLevelType w:val="hybridMultilevel"/>
    <w:tmpl w:val="FA009C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2B05071A"/>
    <w:multiLevelType w:val="hybridMultilevel"/>
    <w:tmpl w:val="B2B40FDA"/>
    <w:lvl w:ilvl="0" w:tplc="7E7E4C34">
      <w:start w:val="1"/>
      <w:numFmt w:val="bullet"/>
      <w:pStyle w:val="4bodytex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Times New Roman"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Times New Roman"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Times New Roman" w:hint="default"/>
      </w:rPr>
    </w:lvl>
    <w:lvl w:ilvl="8" w:tplc="04090005">
      <w:start w:val="1"/>
      <w:numFmt w:val="bullet"/>
      <w:lvlText w:val=""/>
      <w:lvlJc w:val="left"/>
      <w:pPr>
        <w:ind w:left="6480" w:hanging="360"/>
      </w:pPr>
      <w:rPr>
        <w:rFonts w:ascii="Wingdings" w:hAnsi="Wingdings" w:hint="default"/>
      </w:rPr>
    </w:lvl>
  </w:abstractNum>
  <w:abstractNum w:abstractNumId="7" w15:restartNumberingAfterBreak="0">
    <w:nsid w:val="2CA90663"/>
    <w:multiLevelType w:val="hybridMultilevel"/>
    <w:tmpl w:val="D2AEE1EC"/>
    <w:lvl w:ilvl="0" w:tplc="04070013">
      <w:start w:val="1"/>
      <w:numFmt w:val="upperRoman"/>
      <w:lvlText w:val="%1."/>
      <w:lvlJc w:val="right"/>
      <w:pPr>
        <w:tabs>
          <w:tab w:val="num" w:pos="888"/>
        </w:tabs>
        <w:ind w:left="888" w:hanging="180"/>
      </w:pPr>
    </w:lvl>
    <w:lvl w:ilvl="1" w:tplc="04070019" w:tentative="1">
      <w:start w:val="1"/>
      <w:numFmt w:val="lowerLetter"/>
      <w:lvlText w:val="%2."/>
      <w:lvlJc w:val="left"/>
      <w:pPr>
        <w:tabs>
          <w:tab w:val="num" w:pos="1608"/>
        </w:tabs>
        <w:ind w:left="1608" w:hanging="360"/>
      </w:pPr>
    </w:lvl>
    <w:lvl w:ilvl="2" w:tplc="0407001B" w:tentative="1">
      <w:start w:val="1"/>
      <w:numFmt w:val="lowerRoman"/>
      <w:lvlText w:val="%3."/>
      <w:lvlJc w:val="right"/>
      <w:pPr>
        <w:tabs>
          <w:tab w:val="num" w:pos="2328"/>
        </w:tabs>
        <w:ind w:left="2328" w:hanging="180"/>
      </w:pPr>
    </w:lvl>
    <w:lvl w:ilvl="3" w:tplc="0407000F" w:tentative="1">
      <w:start w:val="1"/>
      <w:numFmt w:val="decimal"/>
      <w:lvlText w:val="%4."/>
      <w:lvlJc w:val="left"/>
      <w:pPr>
        <w:tabs>
          <w:tab w:val="num" w:pos="3048"/>
        </w:tabs>
        <w:ind w:left="3048" w:hanging="360"/>
      </w:pPr>
    </w:lvl>
    <w:lvl w:ilvl="4" w:tplc="04070019" w:tentative="1">
      <w:start w:val="1"/>
      <w:numFmt w:val="lowerLetter"/>
      <w:lvlText w:val="%5."/>
      <w:lvlJc w:val="left"/>
      <w:pPr>
        <w:tabs>
          <w:tab w:val="num" w:pos="3768"/>
        </w:tabs>
        <w:ind w:left="3768" w:hanging="360"/>
      </w:pPr>
    </w:lvl>
    <w:lvl w:ilvl="5" w:tplc="0407001B" w:tentative="1">
      <w:start w:val="1"/>
      <w:numFmt w:val="lowerRoman"/>
      <w:lvlText w:val="%6."/>
      <w:lvlJc w:val="right"/>
      <w:pPr>
        <w:tabs>
          <w:tab w:val="num" w:pos="4488"/>
        </w:tabs>
        <w:ind w:left="4488" w:hanging="180"/>
      </w:pPr>
    </w:lvl>
    <w:lvl w:ilvl="6" w:tplc="0407000F" w:tentative="1">
      <w:start w:val="1"/>
      <w:numFmt w:val="decimal"/>
      <w:lvlText w:val="%7."/>
      <w:lvlJc w:val="left"/>
      <w:pPr>
        <w:tabs>
          <w:tab w:val="num" w:pos="5208"/>
        </w:tabs>
        <w:ind w:left="5208" w:hanging="360"/>
      </w:pPr>
    </w:lvl>
    <w:lvl w:ilvl="7" w:tplc="04070019" w:tentative="1">
      <w:start w:val="1"/>
      <w:numFmt w:val="lowerLetter"/>
      <w:lvlText w:val="%8."/>
      <w:lvlJc w:val="left"/>
      <w:pPr>
        <w:tabs>
          <w:tab w:val="num" w:pos="5928"/>
        </w:tabs>
        <w:ind w:left="5928" w:hanging="360"/>
      </w:pPr>
    </w:lvl>
    <w:lvl w:ilvl="8" w:tplc="0407001B" w:tentative="1">
      <w:start w:val="1"/>
      <w:numFmt w:val="lowerRoman"/>
      <w:lvlText w:val="%9."/>
      <w:lvlJc w:val="right"/>
      <w:pPr>
        <w:tabs>
          <w:tab w:val="num" w:pos="6648"/>
        </w:tabs>
        <w:ind w:left="6648" w:hanging="180"/>
      </w:pPr>
    </w:lvl>
  </w:abstractNum>
  <w:abstractNum w:abstractNumId="8" w15:restartNumberingAfterBreak="0">
    <w:nsid w:val="317A5192"/>
    <w:multiLevelType w:val="hybridMultilevel"/>
    <w:tmpl w:val="2004B2E2"/>
    <w:lvl w:ilvl="0" w:tplc="8F2616C8">
      <w:start w:val="18"/>
      <w:numFmt w:val="decimal"/>
      <w:lvlText w:val="%1."/>
      <w:lvlJc w:val="left"/>
      <w:pPr>
        <w:tabs>
          <w:tab w:val="num" w:pos="1068"/>
        </w:tabs>
        <w:ind w:left="1068" w:hanging="360"/>
      </w:pPr>
      <w:rPr>
        <w:rFonts w:ascii="Times New Roman" w:hAnsi="Times New Roman" w:hint="default"/>
        <w:b w:val="0"/>
        <w:color w:val="auto"/>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4FC63431"/>
    <w:multiLevelType w:val="hybridMultilevel"/>
    <w:tmpl w:val="17520FCA"/>
    <w:lvl w:ilvl="0" w:tplc="04070001">
      <w:start w:val="1"/>
      <w:numFmt w:val="bullet"/>
      <w:lvlText w:val=""/>
      <w:lvlJc w:val="left"/>
      <w:pPr>
        <w:tabs>
          <w:tab w:val="num" w:pos="1440"/>
        </w:tabs>
        <w:ind w:left="1440" w:hanging="360"/>
      </w:pPr>
      <w:rPr>
        <w:rFonts w:ascii="Symbol" w:hAnsi="Symbol" w:hint="default"/>
      </w:rPr>
    </w:lvl>
    <w:lvl w:ilvl="1" w:tplc="04070003" w:tentative="1">
      <w:start w:val="1"/>
      <w:numFmt w:val="bullet"/>
      <w:lvlText w:val="o"/>
      <w:lvlJc w:val="left"/>
      <w:pPr>
        <w:tabs>
          <w:tab w:val="num" w:pos="2160"/>
        </w:tabs>
        <w:ind w:left="2160" w:hanging="360"/>
      </w:pPr>
      <w:rPr>
        <w:rFonts w:ascii="Courier New" w:hAnsi="Courier New" w:cs="Courier New" w:hint="default"/>
      </w:rPr>
    </w:lvl>
    <w:lvl w:ilvl="2" w:tplc="04070005" w:tentative="1">
      <w:start w:val="1"/>
      <w:numFmt w:val="bullet"/>
      <w:lvlText w:val=""/>
      <w:lvlJc w:val="left"/>
      <w:pPr>
        <w:tabs>
          <w:tab w:val="num" w:pos="2880"/>
        </w:tabs>
        <w:ind w:left="2880" w:hanging="360"/>
      </w:pPr>
      <w:rPr>
        <w:rFonts w:ascii="Wingdings" w:hAnsi="Wingdings" w:hint="default"/>
      </w:rPr>
    </w:lvl>
    <w:lvl w:ilvl="3" w:tplc="04070001" w:tentative="1">
      <w:start w:val="1"/>
      <w:numFmt w:val="bullet"/>
      <w:lvlText w:val=""/>
      <w:lvlJc w:val="left"/>
      <w:pPr>
        <w:tabs>
          <w:tab w:val="num" w:pos="3600"/>
        </w:tabs>
        <w:ind w:left="3600" w:hanging="360"/>
      </w:pPr>
      <w:rPr>
        <w:rFonts w:ascii="Symbol" w:hAnsi="Symbol" w:hint="default"/>
      </w:rPr>
    </w:lvl>
    <w:lvl w:ilvl="4" w:tplc="04070003" w:tentative="1">
      <w:start w:val="1"/>
      <w:numFmt w:val="bullet"/>
      <w:lvlText w:val="o"/>
      <w:lvlJc w:val="left"/>
      <w:pPr>
        <w:tabs>
          <w:tab w:val="num" w:pos="4320"/>
        </w:tabs>
        <w:ind w:left="4320" w:hanging="360"/>
      </w:pPr>
      <w:rPr>
        <w:rFonts w:ascii="Courier New" w:hAnsi="Courier New" w:cs="Courier New" w:hint="default"/>
      </w:rPr>
    </w:lvl>
    <w:lvl w:ilvl="5" w:tplc="04070005" w:tentative="1">
      <w:start w:val="1"/>
      <w:numFmt w:val="bullet"/>
      <w:lvlText w:val=""/>
      <w:lvlJc w:val="left"/>
      <w:pPr>
        <w:tabs>
          <w:tab w:val="num" w:pos="5040"/>
        </w:tabs>
        <w:ind w:left="5040" w:hanging="360"/>
      </w:pPr>
      <w:rPr>
        <w:rFonts w:ascii="Wingdings" w:hAnsi="Wingdings" w:hint="default"/>
      </w:rPr>
    </w:lvl>
    <w:lvl w:ilvl="6" w:tplc="04070001" w:tentative="1">
      <w:start w:val="1"/>
      <w:numFmt w:val="bullet"/>
      <w:lvlText w:val=""/>
      <w:lvlJc w:val="left"/>
      <w:pPr>
        <w:tabs>
          <w:tab w:val="num" w:pos="5760"/>
        </w:tabs>
        <w:ind w:left="5760" w:hanging="360"/>
      </w:pPr>
      <w:rPr>
        <w:rFonts w:ascii="Symbol" w:hAnsi="Symbol" w:hint="default"/>
      </w:rPr>
    </w:lvl>
    <w:lvl w:ilvl="7" w:tplc="04070003" w:tentative="1">
      <w:start w:val="1"/>
      <w:numFmt w:val="bullet"/>
      <w:lvlText w:val="o"/>
      <w:lvlJc w:val="left"/>
      <w:pPr>
        <w:tabs>
          <w:tab w:val="num" w:pos="6480"/>
        </w:tabs>
        <w:ind w:left="6480" w:hanging="360"/>
      </w:pPr>
      <w:rPr>
        <w:rFonts w:ascii="Courier New" w:hAnsi="Courier New" w:cs="Courier New" w:hint="default"/>
      </w:rPr>
    </w:lvl>
    <w:lvl w:ilvl="8" w:tplc="0407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53C33354"/>
    <w:multiLevelType w:val="hybridMultilevel"/>
    <w:tmpl w:val="00BC80B8"/>
    <w:lvl w:ilvl="0" w:tplc="0407000F">
      <w:start w:val="1"/>
      <w:numFmt w:val="decimal"/>
      <w:lvlText w:val="%1."/>
      <w:lvlJc w:val="left"/>
      <w:pPr>
        <w:ind w:left="720" w:hanging="360"/>
      </w:p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545D291D"/>
    <w:multiLevelType w:val="hybridMultilevel"/>
    <w:tmpl w:val="A8ECD2A0"/>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2" w15:restartNumberingAfterBreak="0">
    <w:nsid w:val="63476C5F"/>
    <w:multiLevelType w:val="hybridMultilevel"/>
    <w:tmpl w:val="A5400B86"/>
    <w:lvl w:ilvl="0" w:tplc="5CA0E3BC">
      <w:start w:val="1"/>
      <w:numFmt w:val="decimal"/>
      <w:lvlText w:val="%1."/>
      <w:lvlJc w:val="left"/>
      <w:pPr>
        <w:tabs>
          <w:tab w:val="num" w:pos="360"/>
        </w:tabs>
        <w:ind w:left="360" w:hanging="360"/>
      </w:pPr>
      <w:rPr>
        <w:rFonts w:ascii="Times New Roman" w:hAnsi="Times New Roman" w:hint="default"/>
        <w:b w:val="0"/>
        <w:color w:val="auto"/>
        <w:lang w:val="en-US"/>
      </w:rPr>
    </w:lvl>
    <w:lvl w:ilvl="1" w:tplc="04070003">
      <w:start w:val="1"/>
      <w:numFmt w:val="bullet"/>
      <w:lvlText w:val="o"/>
      <w:lvlJc w:val="left"/>
      <w:pPr>
        <w:tabs>
          <w:tab w:val="num" w:pos="1080"/>
        </w:tabs>
        <w:ind w:left="1080" w:hanging="360"/>
      </w:pPr>
      <w:rPr>
        <w:rFonts w:ascii="Courier New" w:hAnsi="Courier New" w:cs="Courier New" w:hint="default"/>
      </w:rPr>
    </w:lvl>
    <w:lvl w:ilvl="2" w:tplc="04070005">
      <w:start w:val="1"/>
      <w:numFmt w:val="bullet"/>
      <w:lvlText w:val=""/>
      <w:lvlJc w:val="left"/>
      <w:pPr>
        <w:tabs>
          <w:tab w:val="num" w:pos="1800"/>
        </w:tabs>
        <w:ind w:left="1800" w:hanging="360"/>
      </w:pPr>
      <w:rPr>
        <w:rFonts w:ascii="Wingdings" w:hAnsi="Wingdings" w:cs="Wingdings" w:hint="default"/>
      </w:rPr>
    </w:lvl>
    <w:lvl w:ilvl="3" w:tplc="04070001">
      <w:start w:val="1"/>
      <w:numFmt w:val="bullet"/>
      <w:lvlText w:val=""/>
      <w:lvlJc w:val="left"/>
      <w:pPr>
        <w:tabs>
          <w:tab w:val="num" w:pos="2520"/>
        </w:tabs>
        <w:ind w:left="2520" w:hanging="360"/>
      </w:pPr>
      <w:rPr>
        <w:rFonts w:ascii="Symbol" w:hAnsi="Symbol" w:cs="Symbol" w:hint="default"/>
      </w:rPr>
    </w:lvl>
    <w:lvl w:ilvl="4" w:tplc="04070003">
      <w:start w:val="1"/>
      <w:numFmt w:val="bullet"/>
      <w:lvlText w:val="o"/>
      <w:lvlJc w:val="left"/>
      <w:pPr>
        <w:tabs>
          <w:tab w:val="num" w:pos="3240"/>
        </w:tabs>
        <w:ind w:left="3240" w:hanging="360"/>
      </w:pPr>
      <w:rPr>
        <w:rFonts w:ascii="Courier New" w:hAnsi="Courier New" w:cs="Courier New" w:hint="default"/>
      </w:rPr>
    </w:lvl>
    <w:lvl w:ilvl="5" w:tplc="04070005">
      <w:start w:val="1"/>
      <w:numFmt w:val="bullet"/>
      <w:lvlText w:val=""/>
      <w:lvlJc w:val="left"/>
      <w:pPr>
        <w:tabs>
          <w:tab w:val="num" w:pos="3960"/>
        </w:tabs>
        <w:ind w:left="3960" w:hanging="360"/>
      </w:pPr>
      <w:rPr>
        <w:rFonts w:ascii="Wingdings" w:hAnsi="Wingdings" w:cs="Wingdings" w:hint="default"/>
      </w:rPr>
    </w:lvl>
    <w:lvl w:ilvl="6" w:tplc="04070001">
      <w:start w:val="1"/>
      <w:numFmt w:val="bullet"/>
      <w:lvlText w:val=""/>
      <w:lvlJc w:val="left"/>
      <w:pPr>
        <w:tabs>
          <w:tab w:val="num" w:pos="4680"/>
        </w:tabs>
        <w:ind w:left="4680" w:hanging="360"/>
      </w:pPr>
      <w:rPr>
        <w:rFonts w:ascii="Symbol" w:hAnsi="Symbol" w:cs="Symbol" w:hint="default"/>
      </w:rPr>
    </w:lvl>
    <w:lvl w:ilvl="7" w:tplc="04070003">
      <w:start w:val="1"/>
      <w:numFmt w:val="bullet"/>
      <w:lvlText w:val="o"/>
      <w:lvlJc w:val="left"/>
      <w:pPr>
        <w:tabs>
          <w:tab w:val="num" w:pos="5400"/>
        </w:tabs>
        <w:ind w:left="5400" w:hanging="360"/>
      </w:pPr>
      <w:rPr>
        <w:rFonts w:ascii="Courier New" w:hAnsi="Courier New" w:cs="Courier New" w:hint="default"/>
      </w:rPr>
    </w:lvl>
    <w:lvl w:ilvl="8" w:tplc="04070005">
      <w:start w:val="1"/>
      <w:numFmt w:val="bullet"/>
      <w:lvlText w:val=""/>
      <w:lvlJc w:val="left"/>
      <w:pPr>
        <w:tabs>
          <w:tab w:val="num" w:pos="6120"/>
        </w:tabs>
        <w:ind w:left="6120" w:hanging="360"/>
      </w:pPr>
      <w:rPr>
        <w:rFonts w:ascii="Wingdings" w:hAnsi="Wingdings" w:cs="Wingdings" w:hint="default"/>
      </w:rPr>
    </w:lvl>
  </w:abstractNum>
  <w:abstractNum w:abstractNumId="13" w15:restartNumberingAfterBreak="0">
    <w:nsid w:val="6A4E0DAB"/>
    <w:multiLevelType w:val="hybridMultilevel"/>
    <w:tmpl w:val="C43A74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6F323234"/>
    <w:multiLevelType w:val="hybridMultilevel"/>
    <w:tmpl w:val="8B523AC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5" w15:restartNumberingAfterBreak="0">
    <w:nsid w:val="7A130794"/>
    <w:multiLevelType w:val="hybridMultilevel"/>
    <w:tmpl w:val="51EACCB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Wingdings"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Wingdings"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Wingdings"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4C30A0"/>
    <w:multiLevelType w:val="hybridMultilevel"/>
    <w:tmpl w:val="47E6AAE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0"/>
  </w:num>
  <w:num w:numId="3">
    <w:abstractNumId w:val="2"/>
  </w:num>
  <w:num w:numId="4">
    <w:abstractNumId w:val="9"/>
  </w:num>
  <w:num w:numId="5">
    <w:abstractNumId w:val="4"/>
  </w:num>
  <w:num w:numId="6">
    <w:abstractNumId w:val="14"/>
  </w:num>
  <w:num w:numId="7">
    <w:abstractNumId w:val="13"/>
  </w:num>
  <w:num w:numId="8">
    <w:abstractNumId w:val="1"/>
  </w:num>
  <w:num w:numId="9">
    <w:abstractNumId w:val="3"/>
  </w:num>
  <w:num w:numId="10">
    <w:abstractNumId w:val="5"/>
  </w:num>
  <w:num w:numId="11">
    <w:abstractNumId w:val="7"/>
  </w:num>
  <w:num w:numId="12">
    <w:abstractNumId w:val="15"/>
  </w:num>
  <w:num w:numId="13">
    <w:abstractNumId w:val="11"/>
  </w:num>
  <w:num w:numId="14">
    <w:abstractNumId w:val="12"/>
  </w:num>
  <w:num w:numId="15">
    <w:abstractNumId w:val="8"/>
  </w:num>
  <w:num w:numId="16">
    <w:abstractNumId w:val="10"/>
  </w:num>
  <w:num w:numId="1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1241"/>
    <w:rsid w:val="00031F7C"/>
    <w:rsid w:val="000851DE"/>
    <w:rsid w:val="001B0D14"/>
    <w:rsid w:val="002169F6"/>
    <w:rsid w:val="002C67CF"/>
    <w:rsid w:val="00301241"/>
    <w:rsid w:val="00305A0F"/>
    <w:rsid w:val="00391D59"/>
    <w:rsid w:val="004765FD"/>
    <w:rsid w:val="005338F1"/>
    <w:rsid w:val="00552D22"/>
    <w:rsid w:val="005F67DB"/>
    <w:rsid w:val="00600516"/>
    <w:rsid w:val="00620398"/>
    <w:rsid w:val="006367A8"/>
    <w:rsid w:val="00672C56"/>
    <w:rsid w:val="006F2049"/>
    <w:rsid w:val="00727969"/>
    <w:rsid w:val="0076717D"/>
    <w:rsid w:val="007A208A"/>
    <w:rsid w:val="007D77A0"/>
    <w:rsid w:val="00810858"/>
    <w:rsid w:val="00811E7A"/>
    <w:rsid w:val="0082381A"/>
    <w:rsid w:val="0086085F"/>
    <w:rsid w:val="008764AE"/>
    <w:rsid w:val="00882BBB"/>
    <w:rsid w:val="008F7D00"/>
    <w:rsid w:val="00972251"/>
    <w:rsid w:val="009B5CB0"/>
    <w:rsid w:val="009D1266"/>
    <w:rsid w:val="00A9188C"/>
    <w:rsid w:val="00AA4D66"/>
    <w:rsid w:val="00AC3C92"/>
    <w:rsid w:val="00AC3CF9"/>
    <w:rsid w:val="00AD38A0"/>
    <w:rsid w:val="00AF17C6"/>
    <w:rsid w:val="00B34C09"/>
    <w:rsid w:val="00B83EE9"/>
    <w:rsid w:val="00BE5026"/>
    <w:rsid w:val="00C04355"/>
    <w:rsid w:val="00C103AE"/>
    <w:rsid w:val="00C12B97"/>
    <w:rsid w:val="00CA1461"/>
    <w:rsid w:val="00D01D8D"/>
    <w:rsid w:val="00DE25A8"/>
    <w:rsid w:val="00DE4BB8"/>
    <w:rsid w:val="00E31010"/>
    <w:rsid w:val="00E65143"/>
    <w:rsid w:val="00E96BFE"/>
    <w:rsid w:val="00F161AD"/>
    <w:rsid w:val="00F3440F"/>
    <w:rsid w:val="00FF1BB6"/>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B4583"/>
  <w15:chartTrackingRefBased/>
  <w15:docId w15:val="{5F92B584-4A20-4B16-B15F-E8E304524A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301241"/>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30124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Standard"/>
    <w:link w:val="KopfzeileZchn"/>
    <w:uiPriority w:val="99"/>
    <w:unhideWhenUsed/>
    <w:rsid w:val="00AD38A0"/>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D38A0"/>
  </w:style>
  <w:style w:type="paragraph" w:styleId="Funotentext">
    <w:name w:val="footnote text"/>
    <w:basedOn w:val="Standard"/>
    <w:link w:val="FunotentextZchn"/>
    <w:unhideWhenUsed/>
    <w:rsid w:val="004765FD"/>
    <w:pPr>
      <w:spacing w:after="0" w:line="240" w:lineRule="auto"/>
    </w:pPr>
    <w:rPr>
      <w:sz w:val="20"/>
      <w:szCs w:val="20"/>
    </w:rPr>
  </w:style>
  <w:style w:type="character" w:customStyle="1" w:styleId="FunotentextZchn">
    <w:name w:val="Fußnotentext Zchn"/>
    <w:basedOn w:val="Absatz-Standardschriftart"/>
    <w:link w:val="Funotentext"/>
    <w:rsid w:val="004765FD"/>
    <w:rPr>
      <w:sz w:val="20"/>
      <w:szCs w:val="20"/>
    </w:rPr>
  </w:style>
  <w:style w:type="character" w:styleId="Funotenzeichen">
    <w:name w:val="footnote reference"/>
    <w:basedOn w:val="Absatz-Standardschriftart"/>
    <w:unhideWhenUsed/>
    <w:rsid w:val="004765FD"/>
    <w:rPr>
      <w:vertAlign w:val="superscript"/>
    </w:rPr>
  </w:style>
  <w:style w:type="paragraph" w:styleId="StandardWeb">
    <w:name w:val="Normal (Web)"/>
    <w:basedOn w:val="Standard"/>
    <w:rsid w:val="0082381A"/>
    <w:pPr>
      <w:spacing w:before="100" w:beforeAutospacing="1" w:after="100" w:afterAutospacing="1" w:line="240" w:lineRule="auto"/>
    </w:pPr>
    <w:rPr>
      <w:rFonts w:ascii="Times New Roman" w:eastAsia="Times New Roman" w:hAnsi="Times New Roman" w:cs="Times New Roman"/>
      <w:sz w:val="24"/>
      <w:szCs w:val="24"/>
      <w:lang w:val="de-DE" w:eastAsia="de-DE"/>
    </w:rPr>
  </w:style>
  <w:style w:type="character" w:styleId="Hyperlink">
    <w:name w:val="Hyperlink"/>
    <w:uiPriority w:val="99"/>
    <w:unhideWhenUsed/>
    <w:rsid w:val="0082381A"/>
    <w:rPr>
      <w:color w:val="0000FF"/>
      <w:u w:val="single"/>
    </w:rPr>
  </w:style>
  <w:style w:type="paragraph" w:styleId="Listenabsatz">
    <w:name w:val="List Paragraph"/>
    <w:basedOn w:val="Standard"/>
    <w:uiPriority w:val="34"/>
    <w:qFormat/>
    <w:rsid w:val="009B5CB0"/>
    <w:pPr>
      <w:spacing w:after="0" w:line="240" w:lineRule="auto"/>
      <w:ind w:left="708"/>
    </w:pPr>
    <w:rPr>
      <w:rFonts w:ascii="Times New Roman" w:eastAsia="Times New Roman" w:hAnsi="Times New Roman" w:cs="Times New Roman"/>
      <w:sz w:val="24"/>
      <w:szCs w:val="24"/>
      <w:lang w:val="en-US"/>
    </w:rPr>
  </w:style>
  <w:style w:type="character" w:styleId="Kommentarzeichen">
    <w:name w:val="annotation reference"/>
    <w:basedOn w:val="Absatz-Standardschriftart"/>
    <w:uiPriority w:val="99"/>
    <w:semiHidden/>
    <w:unhideWhenUsed/>
    <w:rsid w:val="00882BBB"/>
    <w:rPr>
      <w:sz w:val="16"/>
      <w:szCs w:val="16"/>
    </w:rPr>
  </w:style>
  <w:style w:type="paragraph" w:styleId="Kommentartext">
    <w:name w:val="annotation text"/>
    <w:basedOn w:val="Standard"/>
    <w:link w:val="KommentartextZchn"/>
    <w:uiPriority w:val="99"/>
    <w:semiHidden/>
    <w:unhideWhenUsed/>
    <w:rsid w:val="00882BB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882BBB"/>
    <w:rPr>
      <w:sz w:val="20"/>
      <w:szCs w:val="20"/>
    </w:rPr>
  </w:style>
  <w:style w:type="paragraph" w:styleId="Kommentarthema">
    <w:name w:val="annotation subject"/>
    <w:basedOn w:val="Kommentartext"/>
    <w:next w:val="Kommentartext"/>
    <w:link w:val="KommentarthemaZchn"/>
    <w:uiPriority w:val="99"/>
    <w:semiHidden/>
    <w:unhideWhenUsed/>
    <w:rsid w:val="00882BBB"/>
    <w:rPr>
      <w:b/>
      <w:bCs/>
    </w:rPr>
  </w:style>
  <w:style w:type="character" w:customStyle="1" w:styleId="KommentarthemaZchn">
    <w:name w:val="Kommentarthema Zchn"/>
    <w:basedOn w:val="KommentartextZchn"/>
    <w:link w:val="Kommentarthema"/>
    <w:uiPriority w:val="99"/>
    <w:semiHidden/>
    <w:rsid w:val="00882BBB"/>
    <w:rPr>
      <w:b/>
      <w:bCs/>
      <w:sz w:val="20"/>
      <w:szCs w:val="20"/>
    </w:rPr>
  </w:style>
  <w:style w:type="paragraph" w:styleId="Sprechblasentext">
    <w:name w:val="Balloon Text"/>
    <w:basedOn w:val="Standard"/>
    <w:link w:val="SprechblasentextZchn"/>
    <w:uiPriority w:val="99"/>
    <w:semiHidden/>
    <w:unhideWhenUsed/>
    <w:rsid w:val="00882BBB"/>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882BBB"/>
    <w:rPr>
      <w:rFonts w:ascii="Segoe UI" w:hAnsi="Segoe UI" w:cs="Segoe UI"/>
      <w:sz w:val="18"/>
      <w:szCs w:val="18"/>
    </w:rPr>
  </w:style>
  <w:style w:type="paragraph" w:styleId="Fuzeile">
    <w:name w:val="footer"/>
    <w:basedOn w:val="Standard"/>
    <w:link w:val="FuzeileZchn"/>
    <w:uiPriority w:val="99"/>
    <w:unhideWhenUsed/>
    <w:rsid w:val="005F67D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5F67DB"/>
  </w:style>
  <w:style w:type="paragraph" w:customStyle="1" w:styleId="4bodytext">
    <w:name w:val="4_body text"/>
    <w:basedOn w:val="Standard"/>
    <w:qFormat/>
    <w:rsid w:val="005F67DB"/>
    <w:pPr>
      <w:numPr>
        <w:numId w:val="17"/>
      </w:numPr>
      <w:spacing w:after="170" w:line="340" w:lineRule="exact"/>
    </w:pPr>
    <w:rPr>
      <w:rFonts w:ascii="Georgia" w:eastAsiaTheme="minorEastAsia" w:hAnsi="Georgia" w:cs="Arial"/>
      <w:color w:val="000000" w:themeColor="text1"/>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41566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2.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1658</Words>
  <Characters>10447</Characters>
  <Application>Microsoft Office Word</Application>
  <DocSecurity>0</DocSecurity>
  <Lines>87</Lines>
  <Paragraphs>24</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12081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SKlöpper</dc:creator>
  <cp:keywords/>
  <dc:description/>
  <cp:lastModifiedBy>Soledad Luna</cp:lastModifiedBy>
  <cp:revision>3</cp:revision>
  <dcterms:created xsi:type="dcterms:W3CDTF">2020-07-31T12:10:00Z</dcterms:created>
  <dcterms:modified xsi:type="dcterms:W3CDTF">2020-07-31T12:11:00Z</dcterms:modified>
</cp:coreProperties>
</file>